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926" w:rsidRDefault="00E052B3">
      <w:r>
        <w:rPr>
          <w:rFonts w:ascii="Open Sans" w:hAnsi="Open Sans"/>
          <w:noProof/>
          <w:color w:val="2EA3F2"/>
          <w:sz w:val="21"/>
          <w:szCs w:val="21"/>
          <w:lang w:eastAsia="it-IT"/>
        </w:rPr>
        <w:drawing>
          <wp:inline distT="0" distB="0" distL="0" distR="0" wp14:anchorId="04979B18" wp14:editId="68868677">
            <wp:extent cx="1419225" cy="771525"/>
            <wp:effectExtent l="0" t="0" r="9525" b="9525"/>
            <wp:docPr id="1" name="logo" descr="Ug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Ugl">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225" cy="771525"/>
                    </a:xfrm>
                    <a:prstGeom prst="rect">
                      <a:avLst/>
                    </a:prstGeom>
                    <a:noFill/>
                    <a:ln>
                      <a:noFill/>
                    </a:ln>
                  </pic:spPr>
                </pic:pic>
              </a:graphicData>
            </a:graphic>
          </wp:inline>
        </w:drawing>
      </w:r>
    </w:p>
    <w:p w:rsidR="00E33202" w:rsidRPr="00E33202" w:rsidRDefault="00E33202" w:rsidP="00E33202">
      <w:pPr>
        <w:shd w:val="clear" w:color="auto" w:fill="FFFFFF"/>
        <w:spacing w:after="150" w:line="240" w:lineRule="auto"/>
        <w:outlineLvl w:val="0"/>
        <w:rPr>
          <w:rFonts w:ascii="Verdana" w:eastAsia="Times New Roman" w:hAnsi="Verdana" w:cs="Arial"/>
          <w:b/>
          <w:color w:val="333333"/>
          <w:kern w:val="36"/>
          <w:sz w:val="40"/>
          <w:szCs w:val="40"/>
          <w:lang w:eastAsia="it-IT"/>
        </w:rPr>
      </w:pPr>
      <w:r w:rsidRPr="00E33202">
        <w:rPr>
          <w:rFonts w:ascii="Verdana" w:eastAsia="Times New Roman" w:hAnsi="Verdana" w:cs="Arial"/>
          <w:b/>
          <w:color w:val="333333"/>
          <w:kern w:val="36"/>
          <w:sz w:val="40"/>
          <w:szCs w:val="40"/>
          <w:lang w:eastAsia="it-IT"/>
        </w:rPr>
        <w:t xml:space="preserve">Tempi liquidazione Tfr per licenziamento </w:t>
      </w:r>
    </w:p>
    <w:p w:rsidR="00880674" w:rsidRDefault="00880674" w:rsidP="00E33202">
      <w:pPr>
        <w:shd w:val="clear" w:color="auto" w:fill="FFFFFF"/>
        <w:spacing w:after="150" w:line="240" w:lineRule="auto"/>
        <w:rPr>
          <w:rFonts w:ascii="Arial" w:eastAsia="Times New Roman" w:hAnsi="Arial" w:cs="Arial"/>
          <w:color w:val="333333"/>
          <w:sz w:val="27"/>
          <w:szCs w:val="27"/>
          <w:lang w:eastAsia="it-IT"/>
        </w:rPr>
      </w:pP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Il dipendente, al termine del rapporto di lavoro, ha sempre diritto al pagamento del Tfr, cioè del trattamento di fine rapporto: questo trattamento, chiamato anche liquidazione, non spetta soltanto quando il lavoratore viene licenziato, ma anche quando si dimette. Si tratta, difatti, di una parte della retribuzione del lavoratore che, anche se differita, cioè non corrisposta tutti i mesi, matura mensilmente. Le modalità e le tempistiche della liquidazione, però, possono variare, a seconda della categoria a cui appartiene il lavoratore e delle sue scelte: il Tfr, ad esempio, può essere devoluto a un fondo di previdenza complementare.</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 xml:space="preserve">Ma quali sono, in generale, i </w:t>
      </w:r>
      <w:r w:rsidRPr="00E33202">
        <w:rPr>
          <w:rFonts w:ascii="Verdana" w:eastAsia="Times New Roman" w:hAnsi="Verdana" w:cs="Arial"/>
          <w:bCs/>
          <w:color w:val="333333"/>
          <w:sz w:val="24"/>
          <w:szCs w:val="24"/>
          <w:lang w:eastAsia="it-IT"/>
        </w:rPr>
        <w:t>tempi di liquidazione Tfr per licenziamento?</w:t>
      </w:r>
      <w:r w:rsidRPr="00E33202">
        <w:rPr>
          <w:rFonts w:ascii="Verdana" w:eastAsia="Times New Roman" w:hAnsi="Verdana" w:cs="Arial"/>
          <w:b/>
          <w:bCs/>
          <w:color w:val="333333"/>
          <w:sz w:val="24"/>
          <w:szCs w:val="24"/>
          <w:lang w:eastAsia="it-IT"/>
        </w:rPr>
        <w:t> </w:t>
      </w:r>
      <w:r w:rsidRPr="00E33202">
        <w:rPr>
          <w:rFonts w:ascii="Verdana" w:eastAsia="Times New Roman" w:hAnsi="Verdana" w:cs="Arial"/>
          <w:color w:val="333333"/>
          <w:sz w:val="24"/>
          <w:szCs w:val="24"/>
          <w:lang w:eastAsia="it-IT"/>
        </w:rPr>
        <w:t>Entro quando deve essere pagata la liquidazione, una volta terminato il rapporto? Si può pagare il Tfr a rate? In molti ritengono che, quando il lavoratore si dimette senza preavviso, oppure viene licenziato per giusta causa, i tempi di attesa per ricevere il Tfr siano maggiori: ma è veramente così?</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Per rispondere a tutte queste domande, oltre alle previsioni di legge, che disciplinano le tempistiche di corresponsione del Tfr in modo abbastanza generico, è necessario verificare che cosa dispone, nello specifico, il contratto collettivo applicato dall’azienda. Se è vero, difatti, che il diritto alla liquidazione sorge a prescindere dal motivo per cui si è cessati dal rapporto di lavoro, bisogna comunque considerare che sono necessari dei “tempi tecnici” per il calcolo del Tfr, legati soprattutto alle rivalutazioni delle somme accantonate. Ma procediamo per ordine, e facciamo il punto sul Tfr e sulle tempistiche di pagamento.</w:t>
      </w:r>
    </w:p>
    <w:p w:rsidR="00E33202" w:rsidRPr="00E33202" w:rsidRDefault="00E33202" w:rsidP="00880674">
      <w:pPr>
        <w:shd w:val="clear" w:color="auto" w:fill="FFFFFF"/>
        <w:spacing w:after="0" w:line="240" w:lineRule="auto"/>
        <w:jc w:val="both"/>
        <w:outlineLvl w:val="1"/>
        <w:rPr>
          <w:rFonts w:ascii="Verdana" w:eastAsia="Times New Roman" w:hAnsi="Verdana" w:cs="Arial"/>
          <w:color w:val="FFFFFF"/>
          <w:sz w:val="24"/>
          <w:szCs w:val="24"/>
          <w:lang w:eastAsia="it-IT"/>
        </w:rPr>
      </w:pPr>
      <w:r w:rsidRPr="00E33202">
        <w:rPr>
          <w:rFonts w:ascii="Verdana" w:eastAsia="Times New Roman" w:hAnsi="Verdana" w:cs="Arial"/>
          <w:b/>
          <w:bCs/>
          <w:color w:val="FFFFFF"/>
          <w:sz w:val="24"/>
          <w:szCs w:val="24"/>
          <w:bdr w:val="none" w:sz="0" w:space="0" w:color="auto" w:frame="1"/>
          <w:lang w:eastAsia="it-IT"/>
        </w:rPr>
        <w:t xml:space="preserve"> cos’è il Tfr?</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Il </w:t>
      </w:r>
      <w:r w:rsidRPr="00E33202">
        <w:rPr>
          <w:rFonts w:ascii="Verdana" w:eastAsia="Times New Roman" w:hAnsi="Verdana" w:cs="Arial"/>
          <w:b/>
          <w:bCs/>
          <w:color w:val="333333"/>
          <w:sz w:val="24"/>
          <w:szCs w:val="24"/>
          <w:lang w:eastAsia="it-IT"/>
        </w:rPr>
        <w:t xml:space="preserve">Tfr </w:t>
      </w:r>
      <w:r w:rsidRPr="00E33202">
        <w:rPr>
          <w:rFonts w:ascii="Verdana" w:eastAsia="Times New Roman" w:hAnsi="Verdana" w:cs="Arial"/>
          <w:color w:val="333333"/>
          <w:sz w:val="24"/>
          <w:szCs w:val="24"/>
          <w:lang w:eastAsia="it-IT"/>
        </w:rPr>
        <w:t>o</w:t>
      </w:r>
      <w:r w:rsidRPr="00E33202">
        <w:rPr>
          <w:rFonts w:ascii="Verdana" w:eastAsia="Times New Roman" w:hAnsi="Verdana" w:cs="Arial"/>
          <w:b/>
          <w:bCs/>
          <w:color w:val="333333"/>
          <w:sz w:val="24"/>
          <w:szCs w:val="24"/>
          <w:lang w:eastAsia="it-IT"/>
        </w:rPr>
        <w:t xml:space="preserve"> liquidazione </w:t>
      </w:r>
      <w:r w:rsidRPr="00E33202">
        <w:rPr>
          <w:rFonts w:ascii="Verdana" w:eastAsia="Times New Roman" w:hAnsi="Verdana" w:cs="Arial"/>
          <w:color w:val="333333"/>
          <w:sz w:val="24"/>
          <w:szCs w:val="24"/>
          <w:lang w:eastAsia="it-IT"/>
        </w:rPr>
        <w:t xml:space="preserve">non è, come alcuni erroneamente credono, un’indennità corrisposta dal datore di lavoro per il licenziamento (questa era la sua funzione originaria), ma fa parte a tutti gli effetti della retribuzione del lavoratore. Si tratta, infatti, di una retribuzione differita, cioè che matura tutti i mesi ma viene </w:t>
      </w:r>
      <w:r w:rsidRPr="00E33202">
        <w:rPr>
          <w:rFonts w:ascii="Verdana" w:eastAsia="Times New Roman" w:hAnsi="Verdana" w:cs="Arial"/>
          <w:bCs/>
          <w:color w:val="333333"/>
          <w:sz w:val="24"/>
          <w:szCs w:val="24"/>
          <w:lang w:eastAsia="it-IT"/>
        </w:rPr>
        <w:t>corrisposta al termine del rapporto</w:t>
      </w:r>
      <w:r w:rsidRPr="00E33202">
        <w:rPr>
          <w:rFonts w:ascii="Verdana" w:eastAsia="Times New Roman" w:hAnsi="Verdana" w:cs="Arial"/>
          <w:color w:val="333333"/>
          <w:sz w:val="24"/>
          <w:szCs w:val="24"/>
          <w:lang w:eastAsia="it-IT"/>
        </w:rPr>
        <w:t>, salvo il caso in cui:</w:t>
      </w:r>
    </w:p>
    <w:p w:rsidR="00E33202" w:rsidRPr="00E33202" w:rsidRDefault="00E33202" w:rsidP="00880674">
      <w:pPr>
        <w:numPr>
          <w:ilvl w:val="0"/>
          <w:numId w:val="32"/>
        </w:numPr>
        <w:shd w:val="clear" w:color="auto" w:fill="FFFFFF"/>
        <w:spacing w:after="0" w:line="240" w:lineRule="auto"/>
        <w:ind w:left="-225"/>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il lavoratore abbia richiesto di ricevere il Tfr in busta paga (questo, salvo particolari deroghe o accordi, dal 1° luglio 2018 non è più possibile);</w:t>
      </w:r>
    </w:p>
    <w:p w:rsidR="00E33202" w:rsidRPr="00E33202" w:rsidRDefault="00E33202" w:rsidP="00880674">
      <w:pPr>
        <w:numPr>
          <w:ilvl w:val="0"/>
          <w:numId w:val="32"/>
        </w:numPr>
        <w:shd w:val="clear" w:color="auto" w:fill="FFFFFF"/>
        <w:spacing w:after="0" w:line="240" w:lineRule="auto"/>
        <w:ind w:left="-225"/>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il lavoratore abbia richiesto un’</w:t>
      </w:r>
      <w:r w:rsidRPr="00880674">
        <w:rPr>
          <w:rFonts w:ascii="Verdana" w:eastAsia="Times New Roman" w:hAnsi="Verdana" w:cs="Arial"/>
          <w:color w:val="333333"/>
          <w:sz w:val="24"/>
          <w:szCs w:val="24"/>
          <w:lang w:eastAsia="it-IT"/>
        </w:rPr>
        <w:t>anticipazione del TFR</w:t>
      </w:r>
      <w:r w:rsidR="001B0CF0">
        <w:rPr>
          <w:rFonts w:ascii="Verdana" w:eastAsia="Times New Roman" w:hAnsi="Verdana" w:cs="Arial"/>
          <w:color w:val="333333"/>
          <w:sz w:val="24"/>
          <w:szCs w:val="24"/>
          <w:lang w:eastAsia="it-IT"/>
        </w:rPr>
        <w:t xml:space="preserve"> </w:t>
      </w:r>
      <w:r w:rsidRPr="00E33202">
        <w:rPr>
          <w:rFonts w:ascii="Verdana" w:eastAsia="Times New Roman" w:hAnsi="Verdana" w:cs="Arial"/>
          <w:color w:val="333333"/>
          <w:sz w:val="24"/>
          <w:szCs w:val="24"/>
          <w:lang w:eastAsia="it-IT"/>
        </w:rPr>
        <w:t>(nel qual caso gli spetta la liquidazione residua, al netto di quanto già percepito);</w:t>
      </w:r>
    </w:p>
    <w:p w:rsidR="00E33202" w:rsidRPr="00880674" w:rsidRDefault="00E33202" w:rsidP="00880674">
      <w:pPr>
        <w:numPr>
          <w:ilvl w:val="0"/>
          <w:numId w:val="32"/>
        </w:numPr>
        <w:shd w:val="clear" w:color="auto" w:fill="FFFFFF"/>
        <w:spacing w:after="150" w:line="240" w:lineRule="auto"/>
        <w:ind w:left="-225"/>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il lavoratore abbia scelto di destinare il Tfr a un fondo di previdenza complementare</w:t>
      </w:r>
      <w:r w:rsidR="001B0CF0">
        <w:rPr>
          <w:rFonts w:ascii="Verdana" w:eastAsia="Times New Roman" w:hAnsi="Verdana" w:cs="Arial"/>
          <w:color w:val="333333"/>
          <w:sz w:val="24"/>
          <w:szCs w:val="24"/>
          <w:lang w:eastAsia="it-IT"/>
        </w:rPr>
        <w:t xml:space="preserve"> </w:t>
      </w:r>
      <w:r w:rsidRPr="00E33202">
        <w:rPr>
          <w:rFonts w:ascii="Verdana" w:eastAsia="Times New Roman" w:hAnsi="Verdana" w:cs="Arial"/>
          <w:color w:val="333333"/>
          <w:sz w:val="24"/>
          <w:szCs w:val="24"/>
          <w:lang w:eastAsia="it-IT"/>
        </w:rPr>
        <w:t>(in questo caso potrebbe comunque ricevere sia le anticipazioni che tutta la liquidazione, ma devono veri</w:t>
      </w:r>
      <w:r w:rsidR="001B0CF0">
        <w:rPr>
          <w:rFonts w:ascii="Verdana" w:eastAsia="Times New Roman" w:hAnsi="Verdana" w:cs="Arial"/>
          <w:color w:val="333333"/>
          <w:sz w:val="24"/>
          <w:szCs w:val="24"/>
          <w:lang w:eastAsia="it-IT"/>
        </w:rPr>
        <w:t>ficarsi  determinate situazioni</w:t>
      </w:r>
      <w:r w:rsidRPr="00E33202">
        <w:rPr>
          <w:rFonts w:ascii="Verdana" w:eastAsia="Times New Roman" w:hAnsi="Verdana" w:cs="Arial"/>
          <w:color w:val="333333"/>
          <w:sz w:val="24"/>
          <w:szCs w:val="24"/>
          <w:lang w:eastAsia="it-IT"/>
        </w:rPr>
        <w:t>; in particolare per ricevere tutto il Tfr il lavoratore deve essere disoccupato da un certo periodo</w:t>
      </w:r>
      <w:r w:rsidRPr="00880674">
        <w:rPr>
          <w:rFonts w:ascii="Verdana" w:eastAsia="Times New Roman" w:hAnsi="Verdana" w:cs="Arial"/>
          <w:color w:val="333333"/>
          <w:sz w:val="24"/>
          <w:szCs w:val="24"/>
          <w:lang w:eastAsia="it-IT"/>
        </w:rPr>
        <w:t xml:space="preserve">. </w:t>
      </w:r>
    </w:p>
    <w:p w:rsidR="00E33202" w:rsidRPr="00E33202" w:rsidRDefault="00E33202" w:rsidP="00880674">
      <w:pPr>
        <w:numPr>
          <w:ilvl w:val="0"/>
          <w:numId w:val="32"/>
        </w:numPr>
        <w:shd w:val="clear" w:color="auto" w:fill="FFFFFF"/>
        <w:spacing w:after="150" w:line="240" w:lineRule="auto"/>
        <w:ind w:left="-225"/>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lastRenderedPageBreak/>
        <w:t>Il Tfr che matura ogni anno è pari, per grandi linee, alla retribuzione imponibile del lavoratore divisa per 13,5.</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Il dipendente ha diritto alla </w:t>
      </w:r>
      <w:r w:rsidRPr="00E33202">
        <w:rPr>
          <w:rFonts w:ascii="Verdana" w:eastAsia="Times New Roman" w:hAnsi="Verdana" w:cs="Arial"/>
          <w:bCs/>
          <w:color w:val="333333"/>
          <w:sz w:val="24"/>
          <w:szCs w:val="24"/>
          <w:lang w:eastAsia="it-IT"/>
        </w:rPr>
        <w:t>liquidazione</w:t>
      </w:r>
      <w:r w:rsidRPr="00E33202">
        <w:rPr>
          <w:rFonts w:ascii="Verdana" w:eastAsia="Times New Roman" w:hAnsi="Verdana" w:cs="Arial"/>
          <w:color w:val="333333"/>
          <w:sz w:val="24"/>
          <w:szCs w:val="24"/>
          <w:lang w:eastAsia="it-IT"/>
        </w:rPr>
        <w:t> in tutti i casi, anche nelle ipotesi di:</w:t>
      </w:r>
    </w:p>
    <w:p w:rsidR="00E33202" w:rsidRPr="00E33202" w:rsidRDefault="00E33202" w:rsidP="00880674">
      <w:pPr>
        <w:numPr>
          <w:ilvl w:val="0"/>
          <w:numId w:val="33"/>
        </w:numPr>
        <w:shd w:val="clear" w:color="auto" w:fill="FFFFFF"/>
        <w:spacing w:after="0" w:line="240" w:lineRule="auto"/>
        <w:ind w:left="-225"/>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licenziamento disciplinare;</w:t>
      </w:r>
    </w:p>
    <w:p w:rsidR="00E33202" w:rsidRPr="00E33202" w:rsidRDefault="00E33202" w:rsidP="00880674">
      <w:pPr>
        <w:numPr>
          <w:ilvl w:val="0"/>
          <w:numId w:val="33"/>
        </w:numPr>
        <w:shd w:val="clear" w:color="auto" w:fill="FFFFFF"/>
        <w:spacing w:after="0" w:line="240" w:lineRule="auto"/>
        <w:ind w:left="-225"/>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licenziamento per giusta causa;</w:t>
      </w:r>
    </w:p>
    <w:p w:rsidR="00E33202" w:rsidRPr="00E33202" w:rsidRDefault="00E33202" w:rsidP="00880674">
      <w:pPr>
        <w:numPr>
          <w:ilvl w:val="0"/>
          <w:numId w:val="33"/>
        </w:numPr>
        <w:shd w:val="clear" w:color="auto" w:fill="FFFFFF"/>
        <w:spacing w:after="0" w:line="240" w:lineRule="auto"/>
        <w:ind w:left="-225"/>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dimissioni, anche non per giusta causa.</w:t>
      </w:r>
    </w:p>
    <w:p w:rsidR="00E33202" w:rsidRPr="00E33202" w:rsidRDefault="00E33202" w:rsidP="00880674">
      <w:pPr>
        <w:shd w:val="clear" w:color="auto" w:fill="FFFFFF"/>
        <w:spacing w:after="0" w:line="240" w:lineRule="auto"/>
        <w:jc w:val="both"/>
        <w:outlineLvl w:val="1"/>
        <w:rPr>
          <w:rFonts w:ascii="Verdana" w:eastAsia="Times New Roman" w:hAnsi="Verdana" w:cs="Arial"/>
          <w:color w:val="FFFFFF"/>
          <w:sz w:val="24"/>
          <w:szCs w:val="24"/>
          <w:lang w:eastAsia="it-IT"/>
        </w:rPr>
      </w:pPr>
      <w:r w:rsidRPr="00E33202">
        <w:rPr>
          <w:rFonts w:ascii="Verdana" w:eastAsia="Times New Roman" w:hAnsi="Verdana" w:cs="Arial"/>
          <w:b/>
          <w:bCs/>
          <w:color w:val="FFFFFF"/>
          <w:sz w:val="24"/>
          <w:szCs w:val="24"/>
          <w:bdr w:val="none" w:sz="0" w:space="0" w:color="auto" w:frame="1"/>
          <w:lang w:eastAsia="it-IT"/>
        </w:rPr>
        <w:t>Come si calcola il Tfr?</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Per determinarne l’</w:t>
      </w:r>
      <w:r w:rsidRPr="00E33202">
        <w:rPr>
          <w:rFonts w:ascii="Verdana" w:eastAsia="Times New Roman" w:hAnsi="Verdana" w:cs="Arial"/>
          <w:bCs/>
          <w:color w:val="333333"/>
          <w:sz w:val="24"/>
          <w:szCs w:val="24"/>
          <w:lang w:eastAsia="it-IT"/>
        </w:rPr>
        <w:t xml:space="preserve">ammontare del Tfr </w:t>
      </w:r>
      <w:r w:rsidRPr="00E33202">
        <w:rPr>
          <w:rFonts w:ascii="Verdana" w:eastAsia="Times New Roman" w:hAnsi="Verdana" w:cs="Arial"/>
          <w:color w:val="333333"/>
          <w:sz w:val="24"/>
          <w:szCs w:val="24"/>
          <w:lang w:eastAsia="it-IT"/>
        </w:rPr>
        <w:t>o</w:t>
      </w:r>
      <w:r w:rsidRPr="00E33202">
        <w:rPr>
          <w:rFonts w:ascii="Verdana" w:eastAsia="Times New Roman" w:hAnsi="Verdana" w:cs="Arial"/>
          <w:bCs/>
          <w:color w:val="333333"/>
          <w:sz w:val="24"/>
          <w:szCs w:val="24"/>
          <w:lang w:eastAsia="it-IT"/>
        </w:rPr>
        <w:t xml:space="preserve"> liquidazione</w:t>
      </w:r>
      <w:r w:rsidRPr="00E33202">
        <w:rPr>
          <w:rFonts w:ascii="Verdana" w:eastAsia="Times New Roman" w:hAnsi="Verdana" w:cs="Arial"/>
          <w:color w:val="333333"/>
          <w:sz w:val="24"/>
          <w:szCs w:val="24"/>
          <w:lang w:eastAsia="it-IT"/>
        </w:rPr>
        <w:t xml:space="preserve"> bisogna effettuare le seguenti operazioni:</w:t>
      </w:r>
    </w:p>
    <w:p w:rsidR="00E33202" w:rsidRPr="00E33202" w:rsidRDefault="00E33202" w:rsidP="00880674">
      <w:pPr>
        <w:numPr>
          <w:ilvl w:val="0"/>
          <w:numId w:val="34"/>
        </w:numPr>
        <w:shd w:val="clear" w:color="auto" w:fill="FFFFFF"/>
        <w:spacing w:after="0" w:line="240" w:lineRule="auto"/>
        <w:ind w:left="-225"/>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dividere il totale dell’imponibile Tfr annuo per 13,5;</w:t>
      </w:r>
    </w:p>
    <w:p w:rsidR="00E33202" w:rsidRPr="00E33202" w:rsidRDefault="00E33202" w:rsidP="00880674">
      <w:pPr>
        <w:numPr>
          <w:ilvl w:val="0"/>
          <w:numId w:val="34"/>
        </w:numPr>
        <w:shd w:val="clear" w:color="auto" w:fill="FFFFFF"/>
        <w:spacing w:after="0" w:line="240" w:lineRule="auto"/>
        <w:ind w:left="-225"/>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sottrarre una quota pari allo 0,5% dell’imponibile, che serve per alimentare il fondo di garanzia dell’Inps (che assicura il pagamento della liquidazione, anche quando l’impresa fallisce).</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In pratica, ogni anno, il datore di lavoro deve mettere da parte il 6,91% degli emolumenti imponibili percepiti dal lavoratore e versare all’Inps lo 0,5% (se sommiamo 6,91% con 0,5% otteniamo, appunto, il 7,41%, che è la percentuale corrispondente alla divisione per 13,5).</w:t>
      </w:r>
    </w:p>
    <w:p w:rsidR="00E33202" w:rsidRPr="00E33202" w:rsidRDefault="00E33202" w:rsidP="00880674">
      <w:pPr>
        <w:shd w:val="clear" w:color="auto" w:fill="FFFFFF"/>
        <w:spacing w:after="0" w:line="240" w:lineRule="auto"/>
        <w:jc w:val="both"/>
        <w:outlineLvl w:val="1"/>
        <w:rPr>
          <w:rFonts w:ascii="Verdana" w:eastAsia="Times New Roman" w:hAnsi="Verdana" w:cs="Arial"/>
          <w:color w:val="FFFFFF"/>
          <w:sz w:val="24"/>
          <w:szCs w:val="24"/>
          <w:lang w:eastAsia="it-IT"/>
        </w:rPr>
      </w:pPr>
      <w:r w:rsidRPr="00E33202">
        <w:rPr>
          <w:rFonts w:ascii="Verdana" w:eastAsia="Times New Roman" w:hAnsi="Verdana" w:cs="Arial"/>
          <w:b/>
          <w:bCs/>
          <w:color w:val="FFFFFF"/>
          <w:sz w:val="24"/>
          <w:szCs w:val="24"/>
          <w:bdr w:val="none" w:sz="0" w:space="0" w:color="auto" w:frame="1"/>
          <w:lang w:eastAsia="it-IT"/>
        </w:rPr>
        <w:t>Come matura il Tfr?</w:t>
      </w:r>
    </w:p>
    <w:p w:rsidR="00E33202" w:rsidRPr="00E33202" w:rsidRDefault="00E33202" w:rsidP="00880674">
      <w:pPr>
        <w:shd w:val="clear" w:color="auto" w:fill="FFFFFF"/>
        <w:spacing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 xml:space="preserve">In ogni annualità si maturano 12 </w:t>
      </w:r>
      <w:r w:rsidRPr="00E33202">
        <w:rPr>
          <w:rFonts w:ascii="Verdana" w:eastAsia="Times New Roman" w:hAnsi="Verdana" w:cs="Arial"/>
          <w:bCs/>
          <w:color w:val="333333"/>
          <w:sz w:val="24"/>
          <w:szCs w:val="24"/>
          <w:lang w:eastAsia="it-IT"/>
        </w:rPr>
        <w:t>ratei di Tfr</w:t>
      </w:r>
      <w:r w:rsidRPr="00E33202">
        <w:rPr>
          <w:rFonts w:ascii="Verdana" w:eastAsia="Times New Roman" w:hAnsi="Verdana" w:cs="Arial"/>
          <w:color w:val="333333"/>
          <w:sz w:val="24"/>
          <w:szCs w:val="24"/>
          <w:lang w:eastAsia="it-IT"/>
        </w:rPr>
        <w:t xml:space="preserve">, uno per ogni mese: se le frazioni di mese superano i 15 giorni, dev’essere contato un rateo intero; se le giornate sono inferiori, non viene maturato alcun rateo, salvo diversa previsione del contratto collettivo </w:t>
      </w:r>
      <w:r w:rsidRPr="00880674">
        <w:rPr>
          <w:rFonts w:ascii="Verdana" w:eastAsia="Times New Roman" w:hAnsi="Verdana" w:cs="Arial"/>
          <w:color w:val="333333"/>
          <w:sz w:val="24"/>
          <w:szCs w:val="24"/>
          <w:lang w:eastAsia="it-IT"/>
        </w:rPr>
        <w:t>applicato.</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Durante le assenze tutelate solitamente il Tfr matura normalmente: non matura durante determinate assenze non retribuite, come l’aspettativa e lo sciopero.</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Nel dettaglio, in caso di sospensione della prestazione di lavoro nel corso dell’anno per infortunio, malattia o maternità, oppure in caso di sospensione totale o parziale per la quale sia prevista l’integrazione salariale, deve essere computato nell’imponibile Tfr l’equivalente della retribuzione a cui il lavoratore avrebbe avuto diritto in caso di normale svolgimento del rapporto di lavoro</w:t>
      </w:r>
      <w:r w:rsidR="001B0CF0">
        <w:rPr>
          <w:rFonts w:ascii="Verdana" w:eastAsia="Times New Roman" w:hAnsi="Verdana" w:cs="Arial"/>
          <w:color w:val="333333"/>
          <w:sz w:val="24"/>
          <w:szCs w:val="24"/>
          <w:lang w:eastAsia="it-IT"/>
        </w:rPr>
        <w:t>.</w:t>
      </w:r>
    </w:p>
    <w:p w:rsidR="00E33202" w:rsidRPr="00E33202" w:rsidRDefault="00E33202" w:rsidP="00880674">
      <w:pPr>
        <w:shd w:val="clear" w:color="auto" w:fill="FFFFFF"/>
        <w:spacing w:after="0" w:line="240" w:lineRule="auto"/>
        <w:jc w:val="both"/>
        <w:outlineLvl w:val="1"/>
        <w:rPr>
          <w:rFonts w:ascii="Verdana" w:eastAsia="Times New Roman" w:hAnsi="Verdana" w:cs="Arial"/>
          <w:color w:val="FFFFFF"/>
          <w:sz w:val="24"/>
          <w:szCs w:val="24"/>
          <w:lang w:eastAsia="it-IT"/>
        </w:rPr>
      </w:pPr>
      <w:r w:rsidRPr="00E33202">
        <w:rPr>
          <w:rFonts w:ascii="Verdana" w:eastAsia="Times New Roman" w:hAnsi="Verdana" w:cs="Arial"/>
          <w:b/>
          <w:bCs/>
          <w:color w:val="FFFFFF"/>
          <w:sz w:val="24"/>
          <w:szCs w:val="24"/>
          <w:bdr w:val="none" w:sz="0" w:space="0" w:color="auto" w:frame="1"/>
          <w:lang w:eastAsia="it-IT"/>
        </w:rPr>
        <w:t>Come viene rivalutato il Tfr?</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A partire dall’anno 2001, il Tfr accantonato deve essere rivalutato, anno per anno, per un ammontare pari:</w:t>
      </w:r>
    </w:p>
    <w:p w:rsidR="00E33202" w:rsidRPr="00E33202" w:rsidRDefault="00E33202" w:rsidP="00880674">
      <w:pPr>
        <w:numPr>
          <w:ilvl w:val="0"/>
          <w:numId w:val="35"/>
        </w:numPr>
        <w:shd w:val="clear" w:color="auto" w:fill="FFFFFF"/>
        <w:spacing w:after="0" w:line="240" w:lineRule="auto"/>
        <w:ind w:left="-225"/>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all’ 1,5%;</w:t>
      </w:r>
    </w:p>
    <w:p w:rsidR="00E33202" w:rsidRDefault="00E33202" w:rsidP="00880674">
      <w:pPr>
        <w:numPr>
          <w:ilvl w:val="0"/>
          <w:numId w:val="35"/>
        </w:numPr>
        <w:shd w:val="clear" w:color="auto" w:fill="FFFFFF"/>
        <w:spacing w:after="0" w:line="240" w:lineRule="auto"/>
        <w:ind w:left="-225"/>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più i tre quarti del tasso di inflazione.</w:t>
      </w:r>
    </w:p>
    <w:p w:rsidR="001B0CF0" w:rsidRPr="00E33202" w:rsidRDefault="001B0CF0" w:rsidP="001B0CF0">
      <w:pPr>
        <w:shd w:val="clear" w:color="auto" w:fill="FFFFFF"/>
        <w:spacing w:after="0" w:line="240" w:lineRule="auto"/>
        <w:ind w:left="-225"/>
        <w:jc w:val="both"/>
        <w:rPr>
          <w:rFonts w:ascii="Verdana" w:eastAsia="Times New Roman" w:hAnsi="Verdana" w:cs="Arial"/>
          <w:color w:val="333333"/>
          <w:sz w:val="24"/>
          <w:szCs w:val="24"/>
          <w:lang w:eastAsia="it-IT"/>
        </w:rPr>
      </w:pP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Per esempio, se l’inflazione calcolata è pari al 2%, i suoi ¾ sono l’1,5%, pertanto il trattamento è rivalutato nella misura del 3%, pari a 1,5% più 1,5%.</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Il datore deve dunque rivalutare quanto accantonato al 31 dicembre dell’anno precedente e dedurre l’</w:t>
      </w:r>
      <w:r w:rsidRPr="00E33202">
        <w:rPr>
          <w:rFonts w:ascii="Verdana" w:eastAsia="Times New Roman" w:hAnsi="Verdana" w:cs="Arial"/>
          <w:bCs/>
          <w:color w:val="333333"/>
          <w:sz w:val="24"/>
          <w:szCs w:val="24"/>
          <w:lang w:eastAsia="it-IT"/>
        </w:rPr>
        <w:t>imposta sostitutiva</w:t>
      </w:r>
      <w:r w:rsidRPr="00E33202">
        <w:rPr>
          <w:rFonts w:ascii="Verdana" w:eastAsia="Times New Roman" w:hAnsi="Verdana" w:cs="Arial"/>
          <w:b/>
          <w:bCs/>
          <w:color w:val="333333"/>
          <w:sz w:val="24"/>
          <w:szCs w:val="24"/>
          <w:lang w:eastAsia="it-IT"/>
        </w:rPr>
        <w:t> </w:t>
      </w:r>
      <w:r w:rsidRPr="00E33202">
        <w:rPr>
          <w:rFonts w:ascii="Verdana" w:eastAsia="Times New Roman" w:hAnsi="Verdana" w:cs="Arial"/>
          <w:color w:val="333333"/>
          <w:sz w:val="24"/>
          <w:szCs w:val="24"/>
          <w:lang w:eastAsia="it-IT"/>
        </w:rPr>
        <w:t>sulle rivalutazioni (che versa, in acconto e a saldo, tramite F24, con i codici 1712 e 1713), pari al </w:t>
      </w:r>
      <w:r w:rsidRPr="001B0CF0">
        <w:rPr>
          <w:rFonts w:ascii="Verdana" w:eastAsia="Times New Roman" w:hAnsi="Verdana" w:cs="Arial"/>
          <w:bCs/>
          <w:color w:val="333333"/>
          <w:sz w:val="24"/>
          <w:szCs w:val="24"/>
          <w:lang w:eastAsia="it-IT"/>
        </w:rPr>
        <w:t>17%</w:t>
      </w:r>
      <w:r w:rsidRPr="00E33202">
        <w:rPr>
          <w:rFonts w:ascii="Verdana" w:eastAsia="Times New Roman" w:hAnsi="Verdana" w:cs="Arial"/>
          <w:color w:val="333333"/>
          <w:sz w:val="24"/>
          <w:szCs w:val="24"/>
          <w:lang w:eastAsia="it-IT"/>
        </w:rPr>
        <w:t>.</w:t>
      </w:r>
    </w:p>
    <w:p w:rsidR="00E33202" w:rsidRPr="00E33202" w:rsidRDefault="00E33202" w:rsidP="00880674">
      <w:pPr>
        <w:shd w:val="clear" w:color="auto" w:fill="FFFFFF"/>
        <w:spacing w:after="0" w:line="240" w:lineRule="auto"/>
        <w:jc w:val="both"/>
        <w:outlineLvl w:val="1"/>
        <w:rPr>
          <w:rFonts w:ascii="Verdana" w:eastAsia="Times New Roman" w:hAnsi="Verdana" w:cs="Arial"/>
          <w:color w:val="FFFFFF"/>
          <w:sz w:val="24"/>
          <w:szCs w:val="24"/>
          <w:lang w:eastAsia="it-IT"/>
        </w:rPr>
      </w:pPr>
      <w:r w:rsidRPr="00E33202">
        <w:rPr>
          <w:rFonts w:ascii="Verdana" w:eastAsia="Times New Roman" w:hAnsi="Verdana" w:cs="Arial"/>
          <w:b/>
          <w:bCs/>
          <w:color w:val="FFFFFF"/>
          <w:sz w:val="24"/>
          <w:szCs w:val="24"/>
          <w:bdr w:val="none" w:sz="0" w:space="0" w:color="auto" w:frame="1"/>
          <w:lang w:eastAsia="it-IT"/>
        </w:rPr>
        <w:t>Quali sono i tempi di liquidazione del Tfr?</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Per quanto riguarda il termine entro cui deve essere corrisposto il </w:t>
      </w:r>
      <w:r w:rsidRPr="00E33202">
        <w:rPr>
          <w:rFonts w:ascii="Verdana" w:eastAsia="Times New Roman" w:hAnsi="Verdana" w:cs="Arial"/>
          <w:bCs/>
          <w:color w:val="333333"/>
          <w:sz w:val="24"/>
          <w:szCs w:val="24"/>
          <w:lang w:eastAsia="it-IT"/>
        </w:rPr>
        <w:t>Tfr</w:t>
      </w:r>
      <w:r w:rsidRPr="00E33202">
        <w:rPr>
          <w:rFonts w:ascii="Verdana" w:eastAsia="Times New Roman" w:hAnsi="Verdana" w:cs="Arial"/>
          <w:color w:val="333333"/>
          <w:sz w:val="24"/>
          <w:szCs w:val="24"/>
          <w:lang w:eastAsia="it-IT"/>
        </w:rPr>
        <w:t>, la legge specifica solo che il dip</w:t>
      </w:r>
      <w:bookmarkStart w:id="0" w:name="_GoBack"/>
      <w:bookmarkEnd w:id="0"/>
      <w:r w:rsidRPr="00E33202">
        <w:rPr>
          <w:rFonts w:ascii="Verdana" w:eastAsia="Times New Roman" w:hAnsi="Verdana" w:cs="Arial"/>
          <w:color w:val="333333"/>
          <w:sz w:val="24"/>
          <w:szCs w:val="24"/>
          <w:lang w:eastAsia="it-IT"/>
        </w:rPr>
        <w:t xml:space="preserve">endente abbia diritto alla liquidazione alla </w:t>
      </w:r>
      <w:r w:rsidRPr="00E33202">
        <w:rPr>
          <w:rFonts w:ascii="Verdana" w:eastAsia="Times New Roman" w:hAnsi="Verdana" w:cs="Arial"/>
          <w:color w:val="333333"/>
          <w:sz w:val="24"/>
          <w:szCs w:val="24"/>
          <w:lang w:eastAsia="it-IT"/>
        </w:rPr>
        <w:lastRenderedPageBreak/>
        <w:t>cessazione del rapporto, senza disporre una data particolare; non conferma, ma nemmeno nega, la possibilità di pagare la </w:t>
      </w:r>
      <w:r w:rsidRPr="00E33202">
        <w:rPr>
          <w:rFonts w:ascii="Verdana" w:eastAsia="Times New Roman" w:hAnsi="Verdana" w:cs="Arial"/>
          <w:bCs/>
          <w:color w:val="333333"/>
          <w:sz w:val="24"/>
          <w:szCs w:val="24"/>
          <w:lang w:eastAsia="it-IT"/>
        </w:rPr>
        <w:t>liquidazione a rate</w:t>
      </w:r>
      <w:r w:rsidRPr="00E33202">
        <w:rPr>
          <w:rFonts w:ascii="Verdana" w:eastAsia="Times New Roman" w:hAnsi="Verdana" w:cs="Arial"/>
          <w:color w:val="333333"/>
          <w:sz w:val="24"/>
          <w:szCs w:val="24"/>
          <w:lang w:eastAsia="it-IT"/>
        </w:rPr>
        <w:t>.</w:t>
      </w:r>
    </w:p>
    <w:p w:rsidR="00E33202" w:rsidRPr="00E33202" w:rsidRDefault="00E33202" w:rsidP="00880674">
      <w:pPr>
        <w:shd w:val="clear" w:color="auto" w:fill="FFFFFF"/>
        <w:spacing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Alcuni contratti collettivi nazionali, come il contratto collettivo (</w:t>
      </w:r>
      <w:r w:rsidRPr="00880674">
        <w:rPr>
          <w:rFonts w:ascii="Verdana" w:eastAsia="Times New Roman" w:hAnsi="Verdana" w:cs="Arial"/>
          <w:color w:val="333333"/>
          <w:sz w:val="24"/>
          <w:szCs w:val="24"/>
          <w:lang w:eastAsia="it-IT"/>
        </w:rPr>
        <w:t>CCNL</w:t>
      </w:r>
      <w:r w:rsidRPr="00E33202">
        <w:rPr>
          <w:rFonts w:ascii="Verdana" w:eastAsia="Times New Roman" w:hAnsi="Verdana" w:cs="Arial"/>
          <w:color w:val="333333"/>
          <w:sz w:val="24"/>
          <w:szCs w:val="24"/>
          <w:lang w:eastAsia="it-IT"/>
        </w:rPr>
        <w:t>) Commercio o il contratto collettivo Studi professionali, integrano le previsioni di legge stabilendo che il trattamento di fine rapporto deve essere corrisposto all’atto della </w:t>
      </w:r>
      <w:r w:rsidRPr="00E33202">
        <w:rPr>
          <w:rFonts w:ascii="Verdana" w:eastAsia="Times New Roman" w:hAnsi="Verdana" w:cs="Arial"/>
          <w:bCs/>
          <w:color w:val="333333"/>
          <w:sz w:val="24"/>
          <w:szCs w:val="24"/>
          <w:lang w:eastAsia="it-IT"/>
        </w:rPr>
        <w:t>cessazione dal servizio</w:t>
      </w:r>
      <w:r w:rsidRPr="00E33202">
        <w:rPr>
          <w:rFonts w:ascii="Verdana" w:eastAsia="Times New Roman" w:hAnsi="Verdana" w:cs="Arial"/>
          <w:color w:val="333333"/>
          <w:sz w:val="24"/>
          <w:szCs w:val="24"/>
          <w:lang w:eastAsia="it-IT"/>
        </w:rPr>
        <w:t>, dedotto quanto eventualmente dovuto dal dipendente, nei tempi tecnici necessari alla elaborazione del tasso di rivalutazione, comunque non oltre </w:t>
      </w:r>
      <w:r w:rsidRPr="00880674">
        <w:rPr>
          <w:rFonts w:ascii="Verdana" w:eastAsia="Times New Roman" w:hAnsi="Verdana" w:cs="Arial"/>
          <w:bCs/>
          <w:color w:val="333333"/>
          <w:sz w:val="24"/>
          <w:szCs w:val="24"/>
          <w:lang w:eastAsia="it-IT"/>
        </w:rPr>
        <w:t>45 giorni</w:t>
      </w:r>
      <w:r w:rsidRPr="00E33202">
        <w:rPr>
          <w:rFonts w:ascii="Verdana" w:eastAsia="Times New Roman" w:hAnsi="Verdana" w:cs="Arial"/>
          <w:color w:val="333333"/>
          <w:sz w:val="24"/>
          <w:szCs w:val="24"/>
          <w:lang w:eastAsia="it-IT"/>
        </w:rPr>
        <w:t> dalla data di cessazione del rapporto di lavoro.</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A questo proposito, dobbiamo osservare che il tasso di rivalutazione non è un dato che può essere conosciuto nel corso del mese in cui termina il rapporto di lavoro, ma è noto soltanto il mese successivo: per questo motivo i tempi tecnici di elaborazione del Tfr richiedono il differimento della sua erogazione, per consentire di elaborare correttamente il cedolino.</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Ma vediamo che cosa dispongono nello specifico, in merito alle tempistiche di liquidazione del Tfr, i vari contratti collettivi.</w:t>
      </w:r>
    </w:p>
    <w:p w:rsidR="00E33202" w:rsidRPr="00E33202" w:rsidRDefault="00E33202" w:rsidP="00880674">
      <w:pPr>
        <w:shd w:val="clear" w:color="auto" w:fill="FFFFFF"/>
        <w:spacing w:after="0" w:line="240" w:lineRule="auto"/>
        <w:jc w:val="both"/>
        <w:outlineLvl w:val="2"/>
        <w:rPr>
          <w:rFonts w:ascii="Verdana" w:eastAsia="Times New Roman" w:hAnsi="Verdana" w:cs="Arial"/>
          <w:color w:val="333333"/>
          <w:sz w:val="24"/>
          <w:szCs w:val="24"/>
          <w:lang w:eastAsia="it-IT"/>
        </w:rPr>
      </w:pPr>
      <w:r w:rsidRPr="00880674">
        <w:rPr>
          <w:rFonts w:ascii="Verdana" w:eastAsia="Times New Roman" w:hAnsi="Verdana" w:cs="Arial"/>
          <w:b/>
          <w:bCs/>
          <w:color w:val="333333"/>
          <w:sz w:val="24"/>
          <w:szCs w:val="24"/>
          <w:bdr w:val="none" w:sz="0" w:space="0" w:color="auto" w:frame="1"/>
          <w:lang w:eastAsia="it-IT"/>
        </w:rPr>
        <w:t>Tempi di liquidazione Tfr Commercio e Artigianato</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 xml:space="preserve">La tempistica massima per il versamento delle somme dovute al dipendente per la liquidazione del Tfr, secondo il </w:t>
      </w:r>
      <w:r w:rsidR="00880674">
        <w:rPr>
          <w:rFonts w:ascii="Verdana" w:eastAsia="Times New Roman" w:hAnsi="Verdana" w:cs="Arial"/>
          <w:color w:val="333333"/>
          <w:sz w:val="24"/>
          <w:szCs w:val="24"/>
          <w:lang w:eastAsia="it-IT"/>
        </w:rPr>
        <w:t>CCNL</w:t>
      </w:r>
      <w:r w:rsidRPr="00E33202">
        <w:rPr>
          <w:rFonts w:ascii="Verdana" w:eastAsia="Times New Roman" w:hAnsi="Verdana" w:cs="Arial"/>
          <w:color w:val="333333"/>
          <w:sz w:val="24"/>
          <w:szCs w:val="24"/>
          <w:lang w:eastAsia="it-IT"/>
        </w:rPr>
        <w:t xml:space="preserve"> del Commercio e il </w:t>
      </w:r>
      <w:r w:rsidR="00880674">
        <w:rPr>
          <w:rFonts w:ascii="Verdana" w:eastAsia="Times New Roman" w:hAnsi="Verdana" w:cs="Arial"/>
          <w:color w:val="333333"/>
          <w:sz w:val="24"/>
          <w:szCs w:val="24"/>
          <w:lang w:eastAsia="it-IT"/>
        </w:rPr>
        <w:t xml:space="preserve">CCNL </w:t>
      </w:r>
      <w:r w:rsidRPr="00E33202">
        <w:rPr>
          <w:rFonts w:ascii="Verdana" w:eastAsia="Times New Roman" w:hAnsi="Verdana" w:cs="Arial"/>
          <w:color w:val="333333"/>
          <w:sz w:val="24"/>
          <w:szCs w:val="24"/>
          <w:lang w:eastAsia="it-IT"/>
        </w:rPr>
        <w:t xml:space="preserve">dell’Artigianato, è pari a </w:t>
      </w:r>
      <w:r w:rsidRPr="00880674">
        <w:rPr>
          <w:rFonts w:ascii="Verdana" w:eastAsia="Times New Roman" w:hAnsi="Verdana" w:cs="Arial"/>
          <w:b/>
          <w:bCs/>
          <w:color w:val="333333"/>
          <w:sz w:val="24"/>
          <w:szCs w:val="24"/>
          <w:lang w:eastAsia="it-IT"/>
        </w:rPr>
        <w:t>45 giorni</w:t>
      </w:r>
      <w:r w:rsidRPr="00E33202">
        <w:rPr>
          <w:rFonts w:ascii="Verdana" w:eastAsia="Times New Roman" w:hAnsi="Verdana" w:cs="Arial"/>
          <w:color w:val="333333"/>
          <w:sz w:val="24"/>
          <w:szCs w:val="24"/>
          <w:lang w:eastAsia="it-IT"/>
        </w:rPr>
        <w:t>, calcolati a partire dalla data di cessazione del rapporto di lavoro.</w:t>
      </w:r>
    </w:p>
    <w:p w:rsidR="00E33202" w:rsidRPr="00E33202" w:rsidRDefault="00E33202" w:rsidP="00880674">
      <w:pPr>
        <w:shd w:val="clear" w:color="auto" w:fill="FFFFFF"/>
        <w:spacing w:after="0" w:line="240" w:lineRule="auto"/>
        <w:jc w:val="both"/>
        <w:outlineLvl w:val="2"/>
        <w:rPr>
          <w:rFonts w:ascii="Verdana" w:eastAsia="Times New Roman" w:hAnsi="Verdana" w:cs="Arial"/>
          <w:color w:val="333333"/>
          <w:sz w:val="24"/>
          <w:szCs w:val="24"/>
          <w:lang w:eastAsia="it-IT"/>
        </w:rPr>
      </w:pPr>
      <w:r w:rsidRPr="00880674">
        <w:rPr>
          <w:rFonts w:ascii="Verdana" w:eastAsia="Times New Roman" w:hAnsi="Verdana" w:cs="Arial"/>
          <w:b/>
          <w:bCs/>
          <w:color w:val="333333"/>
          <w:sz w:val="24"/>
          <w:szCs w:val="24"/>
          <w:bdr w:val="none" w:sz="0" w:space="0" w:color="auto" w:frame="1"/>
          <w:lang w:eastAsia="it-IT"/>
        </w:rPr>
        <w:t>Tempi di liquidazione Tfr Terziario</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 xml:space="preserve">Il pagamento del Tfr al dipendente, per i datori di lavoro che applicano il </w:t>
      </w:r>
      <w:r w:rsidR="00880674">
        <w:rPr>
          <w:rFonts w:ascii="Verdana" w:eastAsia="Times New Roman" w:hAnsi="Verdana" w:cs="Arial"/>
          <w:color w:val="333333"/>
          <w:sz w:val="24"/>
          <w:szCs w:val="24"/>
          <w:lang w:eastAsia="it-IT"/>
        </w:rPr>
        <w:t xml:space="preserve">CCNL </w:t>
      </w:r>
      <w:r w:rsidRPr="00E33202">
        <w:rPr>
          <w:rFonts w:ascii="Verdana" w:eastAsia="Times New Roman" w:hAnsi="Verdana" w:cs="Arial"/>
          <w:color w:val="333333"/>
          <w:sz w:val="24"/>
          <w:szCs w:val="24"/>
          <w:lang w:eastAsia="it-IT"/>
        </w:rPr>
        <w:t xml:space="preserve">del Terziario, è obbligatorio entro </w:t>
      </w:r>
      <w:r w:rsidRPr="00880674">
        <w:rPr>
          <w:rFonts w:ascii="Verdana" w:eastAsia="Times New Roman" w:hAnsi="Verdana" w:cs="Arial"/>
          <w:b/>
          <w:bCs/>
          <w:color w:val="333333"/>
          <w:sz w:val="24"/>
          <w:szCs w:val="24"/>
          <w:lang w:eastAsia="it-IT"/>
        </w:rPr>
        <w:t>30 giorni</w:t>
      </w:r>
      <w:r w:rsidRPr="00E33202">
        <w:rPr>
          <w:rFonts w:ascii="Verdana" w:eastAsia="Times New Roman" w:hAnsi="Verdana" w:cs="Arial"/>
          <w:color w:val="333333"/>
          <w:sz w:val="24"/>
          <w:szCs w:val="24"/>
          <w:lang w:eastAsia="it-IT"/>
        </w:rPr>
        <w:t xml:space="preserve"> dalla data di fine rapporto.</w:t>
      </w:r>
    </w:p>
    <w:p w:rsidR="00E33202" w:rsidRPr="00E33202" w:rsidRDefault="00E33202" w:rsidP="00880674">
      <w:pPr>
        <w:shd w:val="clear" w:color="auto" w:fill="FFFFFF"/>
        <w:spacing w:after="0" w:line="240" w:lineRule="auto"/>
        <w:jc w:val="both"/>
        <w:outlineLvl w:val="2"/>
        <w:rPr>
          <w:rFonts w:ascii="Verdana" w:eastAsia="Times New Roman" w:hAnsi="Verdana" w:cs="Arial"/>
          <w:color w:val="333333"/>
          <w:sz w:val="24"/>
          <w:szCs w:val="24"/>
          <w:lang w:eastAsia="it-IT"/>
        </w:rPr>
      </w:pPr>
      <w:r w:rsidRPr="00880674">
        <w:rPr>
          <w:rFonts w:ascii="Verdana" w:eastAsia="Times New Roman" w:hAnsi="Verdana" w:cs="Arial"/>
          <w:b/>
          <w:bCs/>
          <w:color w:val="333333"/>
          <w:sz w:val="24"/>
          <w:szCs w:val="24"/>
          <w:bdr w:val="none" w:sz="0" w:space="0" w:color="auto" w:frame="1"/>
          <w:lang w:eastAsia="it-IT"/>
        </w:rPr>
        <w:t>Tempi di liquidazione Tfr Metalmeccanica</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 xml:space="preserve">I termini di pagamento del Tfr, per i datori di lavoro che applicano il </w:t>
      </w:r>
      <w:r w:rsidR="00880674">
        <w:rPr>
          <w:rFonts w:ascii="Verdana" w:eastAsia="Times New Roman" w:hAnsi="Verdana" w:cs="Arial"/>
          <w:color w:val="333333"/>
          <w:sz w:val="24"/>
          <w:szCs w:val="24"/>
          <w:lang w:eastAsia="it-IT"/>
        </w:rPr>
        <w:t xml:space="preserve">CCNL </w:t>
      </w:r>
      <w:r w:rsidRPr="00E33202">
        <w:rPr>
          <w:rFonts w:ascii="Verdana" w:eastAsia="Times New Roman" w:hAnsi="Verdana" w:cs="Arial"/>
          <w:color w:val="333333"/>
          <w:sz w:val="24"/>
          <w:szCs w:val="24"/>
          <w:lang w:eastAsia="it-IT"/>
        </w:rPr>
        <w:t xml:space="preserve">Metalmeccanica, sono pari a un massimo di </w:t>
      </w:r>
      <w:r w:rsidRPr="00880674">
        <w:rPr>
          <w:rFonts w:ascii="Verdana" w:eastAsia="Times New Roman" w:hAnsi="Verdana" w:cs="Arial"/>
          <w:b/>
          <w:bCs/>
          <w:color w:val="333333"/>
          <w:sz w:val="24"/>
          <w:szCs w:val="24"/>
          <w:lang w:eastAsia="it-IT"/>
        </w:rPr>
        <w:t>30 giorni</w:t>
      </w:r>
      <w:r w:rsidRPr="00E33202">
        <w:rPr>
          <w:rFonts w:ascii="Verdana" w:eastAsia="Times New Roman" w:hAnsi="Verdana" w:cs="Arial"/>
          <w:color w:val="333333"/>
          <w:sz w:val="24"/>
          <w:szCs w:val="24"/>
          <w:lang w:eastAsia="it-IT"/>
        </w:rPr>
        <w:t xml:space="preserve"> dalla data di pubblicazione dell’indice Istat, da utilizzare per calcolare la rivalutazione del trattamento maturato fino a quel momento dal lavoratore.</w:t>
      </w:r>
    </w:p>
    <w:p w:rsidR="00E33202" w:rsidRPr="00E33202" w:rsidRDefault="00E33202" w:rsidP="00880674">
      <w:pPr>
        <w:shd w:val="clear" w:color="auto" w:fill="FFFFFF"/>
        <w:spacing w:after="0" w:line="240" w:lineRule="auto"/>
        <w:jc w:val="both"/>
        <w:outlineLvl w:val="2"/>
        <w:rPr>
          <w:rFonts w:ascii="Verdana" w:eastAsia="Times New Roman" w:hAnsi="Verdana" w:cs="Arial"/>
          <w:color w:val="333333"/>
          <w:sz w:val="24"/>
          <w:szCs w:val="24"/>
          <w:lang w:eastAsia="it-IT"/>
        </w:rPr>
      </w:pPr>
      <w:r w:rsidRPr="00880674">
        <w:rPr>
          <w:rFonts w:ascii="Verdana" w:eastAsia="Times New Roman" w:hAnsi="Verdana" w:cs="Arial"/>
          <w:b/>
          <w:bCs/>
          <w:color w:val="333333"/>
          <w:sz w:val="24"/>
          <w:szCs w:val="24"/>
          <w:bdr w:val="none" w:sz="0" w:space="0" w:color="auto" w:frame="1"/>
          <w:lang w:eastAsia="it-IT"/>
        </w:rPr>
        <w:t>Tempi di liquidazione Tfr Turismo</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Il trattamento di fine rapporto, per le aziende che applicano il contratto Turismo, deve essere versato al lavoratore con l’ultima busta paga, nel mese in cui è avvenuta la cessazione dell’attività lavorativa.</w:t>
      </w:r>
    </w:p>
    <w:p w:rsidR="00E33202" w:rsidRPr="00E33202" w:rsidRDefault="00E33202" w:rsidP="00880674">
      <w:pPr>
        <w:shd w:val="clear" w:color="auto" w:fill="FFFFFF"/>
        <w:spacing w:after="0" w:line="240" w:lineRule="auto"/>
        <w:jc w:val="both"/>
        <w:outlineLvl w:val="2"/>
        <w:rPr>
          <w:rFonts w:ascii="Verdana" w:eastAsia="Times New Roman" w:hAnsi="Verdana" w:cs="Arial"/>
          <w:color w:val="333333"/>
          <w:sz w:val="24"/>
          <w:szCs w:val="24"/>
          <w:lang w:eastAsia="it-IT"/>
        </w:rPr>
      </w:pPr>
      <w:r w:rsidRPr="00880674">
        <w:rPr>
          <w:rFonts w:ascii="Verdana" w:eastAsia="Times New Roman" w:hAnsi="Verdana" w:cs="Arial"/>
          <w:b/>
          <w:bCs/>
          <w:color w:val="333333"/>
          <w:sz w:val="24"/>
          <w:szCs w:val="24"/>
          <w:bdr w:val="none" w:sz="0" w:space="0" w:color="auto" w:frame="1"/>
          <w:lang w:eastAsia="it-IT"/>
        </w:rPr>
        <w:t>Tempi di liquidazione Tfr Telecomunicazioni</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 xml:space="preserve">Il pagamento del trattamento di fine rapporto spettante al dipendente, per le aziende che applicano il </w:t>
      </w:r>
      <w:r w:rsidR="00880674">
        <w:rPr>
          <w:rFonts w:ascii="Verdana" w:eastAsia="Times New Roman" w:hAnsi="Verdana" w:cs="Arial"/>
          <w:color w:val="333333"/>
          <w:sz w:val="24"/>
          <w:szCs w:val="24"/>
          <w:lang w:eastAsia="it-IT"/>
        </w:rPr>
        <w:t>CCNL</w:t>
      </w:r>
      <w:r w:rsidRPr="00E33202">
        <w:rPr>
          <w:rFonts w:ascii="Verdana" w:eastAsia="Times New Roman" w:hAnsi="Verdana" w:cs="Arial"/>
          <w:color w:val="333333"/>
          <w:sz w:val="24"/>
          <w:szCs w:val="24"/>
          <w:lang w:eastAsia="it-IT"/>
        </w:rPr>
        <w:t xml:space="preserve"> Telecomunicazioni, deve avvenire entro 30 giorni dalla data di pubblicazione dell’indice Istat, da utilizzare per calcolare la rivalutazione del trattamento maturato fino a quel momento dal lavoratore.</w:t>
      </w:r>
    </w:p>
    <w:p w:rsidR="00E33202" w:rsidRPr="00E33202" w:rsidRDefault="00E33202" w:rsidP="00880674">
      <w:pPr>
        <w:shd w:val="clear" w:color="auto" w:fill="FFFFFF"/>
        <w:spacing w:after="0" w:line="240" w:lineRule="auto"/>
        <w:jc w:val="both"/>
        <w:outlineLvl w:val="2"/>
        <w:rPr>
          <w:rFonts w:ascii="Verdana" w:eastAsia="Times New Roman" w:hAnsi="Verdana" w:cs="Arial"/>
          <w:color w:val="333333"/>
          <w:sz w:val="24"/>
          <w:szCs w:val="24"/>
          <w:lang w:eastAsia="it-IT"/>
        </w:rPr>
      </w:pPr>
      <w:r w:rsidRPr="00880674">
        <w:rPr>
          <w:rFonts w:ascii="Verdana" w:eastAsia="Times New Roman" w:hAnsi="Verdana" w:cs="Arial"/>
          <w:b/>
          <w:bCs/>
          <w:color w:val="333333"/>
          <w:sz w:val="24"/>
          <w:szCs w:val="24"/>
          <w:bdr w:val="none" w:sz="0" w:space="0" w:color="auto" w:frame="1"/>
          <w:lang w:eastAsia="it-IT"/>
        </w:rPr>
        <w:t>Tempi di liquidazione Tfr Colf e Badanti</w:t>
      </w:r>
    </w:p>
    <w:p w:rsidR="00E33202" w:rsidRPr="00E33202" w:rsidRDefault="00E33202" w:rsidP="00880674">
      <w:pPr>
        <w:shd w:val="clear" w:color="auto" w:fill="FFFFFF"/>
        <w:spacing w:after="150"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 xml:space="preserve">I lavoratori domestici, come colf e badanti, hanno diritto al pagamento del Tfr alla pari della generalità dei lavoratori domestici; il Tfr è calcolato sulla base delle retribuzioni corrisposte dal datore durante il corso del rapporto di lavoro. La quota di Tfr maturata annualmente va determinata entro il 31 dicembre di ogni anno di servizio e rivalutata con il relativo indice Istat. La liquidazione di tutte le quote deve avvenire al momento della </w:t>
      </w:r>
      <w:r w:rsidRPr="00880674">
        <w:rPr>
          <w:rFonts w:ascii="Verdana" w:eastAsia="Times New Roman" w:hAnsi="Verdana" w:cs="Arial"/>
          <w:bCs/>
          <w:color w:val="333333"/>
          <w:sz w:val="24"/>
          <w:szCs w:val="24"/>
          <w:lang w:eastAsia="it-IT"/>
        </w:rPr>
        <w:t>cessazione del rapporto</w:t>
      </w:r>
      <w:r w:rsidRPr="00E33202">
        <w:rPr>
          <w:rFonts w:ascii="Verdana" w:eastAsia="Times New Roman" w:hAnsi="Verdana" w:cs="Arial"/>
          <w:color w:val="333333"/>
          <w:sz w:val="24"/>
          <w:szCs w:val="24"/>
          <w:lang w:eastAsia="it-IT"/>
        </w:rPr>
        <w:t xml:space="preserve"> di lavoro a prescindere dal motivo della sua interruzione.</w:t>
      </w:r>
    </w:p>
    <w:p w:rsidR="00E33202" w:rsidRPr="00E33202" w:rsidRDefault="00E33202" w:rsidP="00880674">
      <w:pPr>
        <w:shd w:val="clear" w:color="auto" w:fill="FFFFFF"/>
        <w:spacing w:after="0" w:line="240" w:lineRule="auto"/>
        <w:jc w:val="both"/>
        <w:outlineLvl w:val="1"/>
        <w:rPr>
          <w:rFonts w:ascii="Verdana" w:eastAsia="Times New Roman" w:hAnsi="Verdana" w:cs="Arial"/>
          <w:color w:val="FFFFFF"/>
          <w:sz w:val="24"/>
          <w:szCs w:val="24"/>
          <w:lang w:eastAsia="it-IT"/>
        </w:rPr>
      </w:pPr>
      <w:r w:rsidRPr="00880674">
        <w:rPr>
          <w:rFonts w:ascii="Verdana" w:eastAsia="Times New Roman" w:hAnsi="Verdana" w:cs="Arial"/>
          <w:b/>
          <w:bCs/>
          <w:color w:val="FFFFFF"/>
          <w:sz w:val="24"/>
          <w:szCs w:val="24"/>
          <w:bdr w:val="none" w:sz="0" w:space="0" w:color="auto" w:frame="1"/>
          <w:lang w:eastAsia="it-IT"/>
        </w:rPr>
        <w:lastRenderedPageBreak/>
        <w:t>Tfr in ritardo: a quanto ammontano gli interessi?</w:t>
      </w:r>
    </w:p>
    <w:p w:rsidR="00E33202" w:rsidRPr="00E33202" w:rsidRDefault="00E33202" w:rsidP="00880674">
      <w:pPr>
        <w:shd w:val="clear" w:color="auto" w:fill="FFFFFF"/>
        <w:spacing w:line="240" w:lineRule="auto"/>
        <w:jc w:val="both"/>
        <w:rPr>
          <w:rFonts w:ascii="Verdana" w:eastAsia="Times New Roman" w:hAnsi="Verdana" w:cs="Arial"/>
          <w:color w:val="333333"/>
          <w:sz w:val="24"/>
          <w:szCs w:val="24"/>
          <w:lang w:eastAsia="it-IT"/>
        </w:rPr>
      </w:pPr>
      <w:r w:rsidRPr="00E33202">
        <w:rPr>
          <w:rFonts w:ascii="Verdana" w:eastAsia="Times New Roman" w:hAnsi="Verdana" w:cs="Arial"/>
          <w:color w:val="333333"/>
          <w:sz w:val="24"/>
          <w:szCs w:val="24"/>
          <w:lang w:eastAsia="it-IT"/>
        </w:rPr>
        <w:t>Se il </w:t>
      </w:r>
      <w:r w:rsidRPr="00880674">
        <w:rPr>
          <w:rFonts w:ascii="Verdana" w:eastAsia="Times New Roman" w:hAnsi="Verdana" w:cs="Arial"/>
          <w:bCs/>
          <w:color w:val="333333"/>
          <w:sz w:val="24"/>
          <w:szCs w:val="24"/>
          <w:lang w:eastAsia="it-IT"/>
        </w:rPr>
        <w:t>ritardo</w:t>
      </w:r>
      <w:r w:rsidRPr="00E33202">
        <w:rPr>
          <w:rFonts w:ascii="Verdana" w:eastAsia="Times New Roman" w:hAnsi="Verdana" w:cs="Arial"/>
          <w:color w:val="333333"/>
          <w:sz w:val="24"/>
          <w:szCs w:val="24"/>
          <w:lang w:eastAsia="it-IT"/>
        </w:rPr>
        <w:t> nella liquidazione del Tfr è più lungo rispetto alle tempistiche stabilite, per problemi di disponibilità dell’azienda, il lavoratore ha diritto alla corresponsione degli interessi</w:t>
      </w:r>
    </w:p>
    <w:p w:rsidR="00E33202" w:rsidRPr="00880674" w:rsidRDefault="00E33202" w:rsidP="00880674">
      <w:pPr>
        <w:pStyle w:val="NormaleWeb"/>
        <w:shd w:val="clear" w:color="auto" w:fill="FFFFFF"/>
        <w:jc w:val="both"/>
        <w:rPr>
          <w:rFonts w:ascii="Verdana" w:hAnsi="Verdana" w:cs="Arial"/>
          <w:color w:val="333333"/>
        </w:rPr>
      </w:pPr>
      <w:r w:rsidRPr="00880674">
        <w:rPr>
          <w:rFonts w:ascii="Verdana" w:hAnsi="Verdana" w:cs="Arial"/>
          <w:color w:val="333333"/>
        </w:rPr>
        <w:t>Ad esempio, il contratto collettivo Commercio prevede la corresponsione, a partire dai 45 giorni dal termine del rapporto, di un </w:t>
      </w:r>
      <w:r w:rsidRPr="00880674">
        <w:rPr>
          <w:rStyle w:val="Enfasigrassetto"/>
          <w:rFonts w:ascii="Verdana" w:hAnsi="Verdana" w:cs="Arial"/>
          <w:b w:val="0"/>
          <w:color w:val="333333"/>
        </w:rPr>
        <w:t>interesse del 2%</w:t>
      </w:r>
      <w:r w:rsidRPr="00880674">
        <w:rPr>
          <w:rFonts w:ascii="Verdana" w:hAnsi="Verdana" w:cs="Arial"/>
          <w:b/>
          <w:color w:val="333333"/>
        </w:rPr>
        <w:t> </w:t>
      </w:r>
      <w:r w:rsidRPr="00880674">
        <w:rPr>
          <w:rFonts w:ascii="Verdana" w:hAnsi="Verdana" w:cs="Arial"/>
          <w:color w:val="333333"/>
        </w:rPr>
        <w:t>superiore al tasso ufficiale di sconto.</w:t>
      </w:r>
    </w:p>
    <w:p w:rsidR="00E33202" w:rsidRPr="00880674" w:rsidRDefault="00E33202" w:rsidP="00880674">
      <w:pPr>
        <w:pStyle w:val="NormaleWeb"/>
        <w:shd w:val="clear" w:color="auto" w:fill="FFFFFF"/>
        <w:jc w:val="both"/>
        <w:rPr>
          <w:rFonts w:ascii="Verdana" w:hAnsi="Verdana" w:cs="Arial"/>
          <w:color w:val="333333"/>
        </w:rPr>
      </w:pPr>
      <w:r w:rsidRPr="00880674">
        <w:rPr>
          <w:rFonts w:ascii="Verdana" w:hAnsi="Verdana" w:cs="Arial"/>
          <w:color w:val="333333"/>
        </w:rPr>
        <w:t>L’importo così determinato si intende comprensivo della rivalutazione monetaria per crediti di lavoro, relativa al trattamento di fine rapporto.</w:t>
      </w:r>
    </w:p>
    <w:p w:rsidR="0058227A" w:rsidRPr="00915C18" w:rsidRDefault="0058227A" w:rsidP="00E53DD1">
      <w:pPr>
        <w:spacing w:before="100" w:beforeAutospacing="1" w:line="240" w:lineRule="auto"/>
        <w:jc w:val="both"/>
        <w:rPr>
          <w:rFonts w:ascii="Verdana" w:eastAsia="Times New Roman" w:hAnsi="Verdana" w:cs="Times New Roman"/>
          <w:sz w:val="24"/>
          <w:szCs w:val="24"/>
          <w:lang w:eastAsia="it-IT"/>
        </w:rPr>
      </w:pPr>
    </w:p>
    <w:p w:rsidR="00E53DD1" w:rsidRDefault="00E53DD1"/>
    <w:sectPr w:rsidR="00E53DD1" w:rsidSect="00E53DD1">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Open Sans">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D5A27"/>
    <w:multiLevelType w:val="multilevel"/>
    <w:tmpl w:val="A006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C0E84"/>
    <w:multiLevelType w:val="multilevel"/>
    <w:tmpl w:val="FB70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E7645"/>
    <w:multiLevelType w:val="multilevel"/>
    <w:tmpl w:val="ED60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94DD8"/>
    <w:multiLevelType w:val="multilevel"/>
    <w:tmpl w:val="37E8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461BA8"/>
    <w:multiLevelType w:val="multilevel"/>
    <w:tmpl w:val="78F8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842809"/>
    <w:multiLevelType w:val="multilevel"/>
    <w:tmpl w:val="4E1C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BD65F7"/>
    <w:multiLevelType w:val="multilevel"/>
    <w:tmpl w:val="1950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DA2075"/>
    <w:multiLevelType w:val="multilevel"/>
    <w:tmpl w:val="A2F2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E06957"/>
    <w:multiLevelType w:val="multilevel"/>
    <w:tmpl w:val="FA00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9F72AA"/>
    <w:multiLevelType w:val="multilevel"/>
    <w:tmpl w:val="63AC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D344C7"/>
    <w:multiLevelType w:val="multilevel"/>
    <w:tmpl w:val="A484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2F1170"/>
    <w:multiLevelType w:val="multilevel"/>
    <w:tmpl w:val="2FDE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E00022"/>
    <w:multiLevelType w:val="multilevel"/>
    <w:tmpl w:val="83BC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A959A6"/>
    <w:multiLevelType w:val="multilevel"/>
    <w:tmpl w:val="02BE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B652A3"/>
    <w:multiLevelType w:val="multilevel"/>
    <w:tmpl w:val="14FA2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082F13"/>
    <w:multiLevelType w:val="multilevel"/>
    <w:tmpl w:val="3B50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446A99"/>
    <w:multiLevelType w:val="multilevel"/>
    <w:tmpl w:val="65C6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882A0C"/>
    <w:multiLevelType w:val="multilevel"/>
    <w:tmpl w:val="A448F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5D156C"/>
    <w:multiLevelType w:val="multilevel"/>
    <w:tmpl w:val="01C4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93388F"/>
    <w:multiLevelType w:val="multilevel"/>
    <w:tmpl w:val="F3FA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B67673"/>
    <w:multiLevelType w:val="multilevel"/>
    <w:tmpl w:val="DF6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0F5259"/>
    <w:multiLevelType w:val="multilevel"/>
    <w:tmpl w:val="B9CA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7432C0"/>
    <w:multiLevelType w:val="multilevel"/>
    <w:tmpl w:val="4CB8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741D0A"/>
    <w:multiLevelType w:val="multilevel"/>
    <w:tmpl w:val="81C4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AA6FFB"/>
    <w:multiLevelType w:val="multilevel"/>
    <w:tmpl w:val="A45A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A80FD4"/>
    <w:multiLevelType w:val="multilevel"/>
    <w:tmpl w:val="DCBA5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E5098A"/>
    <w:multiLevelType w:val="multilevel"/>
    <w:tmpl w:val="6C2A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035F9C"/>
    <w:multiLevelType w:val="multilevel"/>
    <w:tmpl w:val="4B1E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815FC8"/>
    <w:multiLevelType w:val="multilevel"/>
    <w:tmpl w:val="7E6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B1309B"/>
    <w:multiLevelType w:val="multilevel"/>
    <w:tmpl w:val="C8CCE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AC1390"/>
    <w:multiLevelType w:val="multilevel"/>
    <w:tmpl w:val="6F3C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40F3830"/>
    <w:multiLevelType w:val="multilevel"/>
    <w:tmpl w:val="9FB6A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507660"/>
    <w:multiLevelType w:val="multilevel"/>
    <w:tmpl w:val="21B80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EB58CC"/>
    <w:multiLevelType w:val="multilevel"/>
    <w:tmpl w:val="9192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31"/>
  </w:num>
  <w:num w:numId="4">
    <w:abstractNumId w:val="21"/>
  </w:num>
  <w:num w:numId="5">
    <w:abstractNumId w:val="33"/>
  </w:num>
  <w:num w:numId="6">
    <w:abstractNumId w:val="16"/>
  </w:num>
  <w:num w:numId="7">
    <w:abstractNumId w:val="4"/>
  </w:num>
  <w:num w:numId="8">
    <w:abstractNumId w:val="26"/>
  </w:num>
  <w:num w:numId="9">
    <w:abstractNumId w:val="2"/>
  </w:num>
  <w:num w:numId="10">
    <w:abstractNumId w:val="7"/>
  </w:num>
  <w:num w:numId="11">
    <w:abstractNumId w:val="24"/>
  </w:num>
  <w:num w:numId="12">
    <w:abstractNumId w:val="3"/>
  </w:num>
  <w:num w:numId="13">
    <w:abstractNumId w:val="30"/>
  </w:num>
  <w:num w:numId="14">
    <w:abstractNumId w:val="18"/>
  </w:num>
  <w:num w:numId="15">
    <w:abstractNumId w:val="25"/>
  </w:num>
  <w:num w:numId="16">
    <w:abstractNumId w:val="17"/>
  </w:num>
  <w:num w:numId="17">
    <w:abstractNumId w:val="0"/>
  </w:num>
  <w:num w:numId="18">
    <w:abstractNumId w:val="14"/>
  </w:num>
  <w:num w:numId="19">
    <w:abstractNumId w:val="19"/>
  </w:num>
  <w:num w:numId="20">
    <w:abstractNumId w:val="13"/>
  </w:num>
  <w:num w:numId="21">
    <w:abstractNumId w:val="28"/>
  </w:num>
  <w:num w:numId="22">
    <w:abstractNumId w:val="1"/>
  </w:num>
  <w:num w:numId="23">
    <w:abstractNumId w:val="22"/>
  </w:num>
  <w:num w:numId="24">
    <w:abstractNumId w:val="5"/>
  </w:num>
  <w:num w:numId="25">
    <w:abstractNumId w:val="8"/>
  </w:num>
  <w:num w:numId="26">
    <w:abstractNumId w:val="6"/>
  </w:num>
  <w:num w:numId="27">
    <w:abstractNumId w:val="20"/>
  </w:num>
  <w:num w:numId="28">
    <w:abstractNumId w:val="32"/>
  </w:num>
  <w:num w:numId="29">
    <w:abstractNumId w:val="12"/>
  </w:num>
  <w:num w:numId="30">
    <w:abstractNumId w:val="29"/>
  </w:num>
  <w:num w:numId="31">
    <w:abstractNumId w:val="29"/>
    <w:lvlOverride w:ilvl="1">
      <w:lvl w:ilvl="1">
        <w:numFmt w:val="bullet"/>
        <w:lvlText w:val=""/>
        <w:lvlJc w:val="left"/>
        <w:pPr>
          <w:tabs>
            <w:tab w:val="num" w:pos="1440"/>
          </w:tabs>
          <w:ind w:left="1440" w:hanging="360"/>
        </w:pPr>
        <w:rPr>
          <w:rFonts w:ascii="Symbol" w:hAnsi="Symbol" w:hint="default"/>
          <w:sz w:val="20"/>
        </w:rPr>
      </w:lvl>
    </w:lvlOverride>
  </w:num>
  <w:num w:numId="32">
    <w:abstractNumId w:val="11"/>
  </w:num>
  <w:num w:numId="33">
    <w:abstractNumId w:val="23"/>
  </w:num>
  <w:num w:numId="34">
    <w:abstractNumId w:val="10"/>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2B3"/>
    <w:rsid w:val="001236C6"/>
    <w:rsid w:val="001B0CF0"/>
    <w:rsid w:val="001F77D3"/>
    <w:rsid w:val="004563FF"/>
    <w:rsid w:val="00561698"/>
    <w:rsid w:val="00574DFD"/>
    <w:rsid w:val="0058227A"/>
    <w:rsid w:val="005B100B"/>
    <w:rsid w:val="006330FE"/>
    <w:rsid w:val="007E0733"/>
    <w:rsid w:val="007F45FA"/>
    <w:rsid w:val="00831426"/>
    <w:rsid w:val="00871C91"/>
    <w:rsid w:val="00880674"/>
    <w:rsid w:val="00915C18"/>
    <w:rsid w:val="00AC0026"/>
    <w:rsid w:val="00B53022"/>
    <w:rsid w:val="00BC098F"/>
    <w:rsid w:val="00C67347"/>
    <w:rsid w:val="00CB03E0"/>
    <w:rsid w:val="00D26926"/>
    <w:rsid w:val="00DF44CD"/>
    <w:rsid w:val="00E052B3"/>
    <w:rsid w:val="00E33202"/>
    <w:rsid w:val="00E53DD1"/>
    <w:rsid w:val="00F84A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052B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2B3"/>
    <w:rPr>
      <w:rFonts w:ascii="Tahoma" w:hAnsi="Tahoma" w:cs="Tahoma"/>
      <w:sz w:val="16"/>
      <w:szCs w:val="16"/>
    </w:rPr>
  </w:style>
  <w:style w:type="character" w:styleId="Enfasigrassetto">
    <w:name w:val="Strong"/>
    <w:basedOn w:val="Carpredefinitoparagrafo"/>
    <w:uiPriority w:val="22"/>
    <w:qFormat/>
    <w:rsid w:val="0058227A"/>
    <w:rPr>
      <w:b/>
      <w:bCs/>
    </w:rPr>
  </w:style>
  <w:style w:type="character" w:customStyle="1" w:styleId="glossaryterm4">
    <w:name w:val="glossary__term4"/>
    <w:basedOn w:val="Carpredefinitoparagrafo"/>
    <w:rsid w:val="0058227A"/>
    <w:rPr>
      <w:strike w:val="0"/>
      <w:dstrike w:val="0"/>
      <w:color w:val="1C2024"/>
      <w:u w:val="none"/>
      <w:effect w:val="none"/>
      <w:shd w:val="clear" w:color="auto" w:fill="BBDAE4"/>
    </w:rPr>
  </w:style>
  <w:style w:type="character" w:customStyle="1" w:styleId="glossaryterm5">
    <w:name w:val="glossary__term5"/>
    <w:basedOn w:val="Carpredefinitoparagrafo"/>
    <w:rsid w:val="0058227A"/>
    <w:rPr>
      <w:strike w:val="0"/>
      <w:dstrike w:val="0"/>
      <w:color w:val="1C2024"/>
      <w:u w:val="none"/>
      <w:effect w:val="none"/>
      <w:shd w:val="clear" w:color="auto" w:fill="BBDAE4"/>
    </w:rPr>
  </w:style>
  <w:style w:type="character" w:styleId="Enfasicorsivo">
    <w:name w:val="Emphasis"/>
    <w:basedOn w:val="Carpredefinitoparagrafo"/>
    <w:uiPriority w:val="20"/>
    <w:qFormat/>
    <w:rsid w:val="0058227A"/>
    <w:rPr>
      <w:i/>
      <w:iCs/>
    </w:rPr>
  </w:style>
  <w:style w:type="paragraph" w:styleId="Titolo">
    <w:name w:val="Title"/>
    <w:basedOn w:val="Normale"/>
    <w:next w:val="Normale"/>
    <w:link w:val="TitoloCarattere"/>
    <w:uiPriority w:val="10"/>
    <w:qFormat/>
    <w:rsid w:val="00CB03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CB03E0"/>
    <w:rPr>
      <w:rFonts w:asciiTheme="majorHAnsi" w:eastAsiaTheme="majorEastAsia" w:hAnsiTheme="majorHAnsi" w:cstheme="majorBidi"/>
      <w:color w:val="17365D" w:themeColor="text2" w:themeShade="BF"/>
      <w:spacing w:val="5"/>
      <w:kern w:val="28"/>
      <w:sz w:val="52"/>
      <w:szCs w:val="52"/>
    </w:rPr>
  </w:style>
  <w:style w:type="paragraph" w:styleId="NormaleWeb">
    <w:name w:val="Normal (Web)"/>
    <w:basedOn w:val="Normale"/>
    <w:uiPriority w:val="99"/>
    <w:semiHidden/>
    <w:unhideWhenUsed/>
    <w:rsid w:val="00E33202"/>
    <w:pPr>
      <w:spacing w:after="150"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052B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2B3"/>
    <w:rPr>
      <w:rFonts w:ascii="Tahoma" w:hAnsi="Tahoma" w:cs="Tahoma"/>
      <w:sz w:val="16"/>
      <w:szCs w:val="16"/>
    </w:rPr>
  </w:style>
  <w:style w:type="character" w:styleId="Enfasigrassetto">
    <w:name w:val="Strong"/>
    <w:basedOn w:val="Carpredefinitoparagrafo"/>
    <w:uiPriority w:val="22"/>
    <w:qFormat/>
    <w:rsid w:val="0058227A"/>
    <w:rPr>
      <w:b/>
      <w:bCs/>
    </w:rPr>
  </w:style>
  <w:style w:type="character" w:customStyle="1" w:styleId="glossaryterm4">
    <w:name w:val="glossary__term4"/>
    <w:basedOn w:val="Carpredefinitoparagrafo"/>
    <w:rsid w:val="0058227A"/>
    <w:rPr>
      <w:strike w:val="0"/>
      <w:dstrike w:val="0"/>
      <w:color w:val="1C2024"/>
      <w:u w:val="none"/>
      <w:effect w:val="none"/>
      <w:shd w:val="clear" w:color="auto" w:fill="BBDAE4"/>
    </w:rPr>
  </w:style>
  <w:style w:type="character" w:customStyle="1" w:styleId="glossaryterm5">
    <w:name w:val="glossary__term5"/>
    <w:basedOn w:val="Carpredefinitoparagrafo"/>
    <w:rsid w:val="0058227A"/>
    <w:rPr>
      <w:strike w:val="0"/>
      <w:dstrike w:val="0"/>
      <w:color w:val="1C2024"/>
      <w:u w:val="none"/>
      <w:effect w:val="none"/>
      <w:shd w:val="clear" w:color="auto" w:fill="BBDAE4"/>
    </w:rPr>
  </w:style>
  <w:style w:type="character" w:styleId="Enfasicorsivo">
    <w:name w:val="Emphasis"/>
    <w:basedOn w:val="Carpredefinitoparagrafo"/>
    <w:uiPriority w:val="20"/>
    <w:qFormat/>
    <w:rsid w:val="0058227A"/>
    <w:rPr>
      <w:i/>
      <w:iCs/>
    </w:rPr>
  </w:style>
  <w:style w:type="paragraph" w:styleId="Titolo">
    <w:name w:val="Title"/>
    <w:basedOn w:val="Normale"/>
    <w:next w:val="Normale"/>
    <w:link w:val="TitoloCarattere"/>
    <w:uiPriority w:val="10"/>
    <w:qFormat/>
    <w:rsid w:val="00CB03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CB03E0"/>
    <w:rPr>
      <w:rFonts w:asciiTheme="majorHAnsi" w:eastAsiaTheme="majorEastAsia" w:hAnsiTheme="majorHAnsi" w:cstheme="majorBidi"/>
      <w:color w:val="17365D" w:themeColor="text2" w:themeShade="BF"/>
      <w:spacing w:val="5"/>
      <w:kern w:val="28"/>
      <w:sz w:val="52"/>
      <w:szCs w:val="52"/>
    </w:rPr>
  </w:style>
  <w:style w:type="paragraph" w:styleId="NormaleWeb">
    <w:name w:val="Normal (Web)"/>
    <w:basedOn w:val="Normale"/>
    <w:uiPriority w:val="99"/>
    <w:semiHidden/>
    <w:unhideWhenUsed/>
    <w:rsid w:val="00E33202"/>
    <w:pPr>
      <w:spacing w:after="15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0923">
      <w:bodyDiv w:val="1"/>
      <w:marLeft w:val="0"/>
      <w:marRight w:val="0"/>
      <w:marTop w:val="0"/>
      <w:marBottom w:val="0"/>
      <w:divBdr>
        <w:top w:val="none" w:sz="0" w:space="0" w:color="auto"/>
        <w:left w:val="none" w:sz="0" w:space="0" w:color="auto"/>
        <w:bottom w:val="none" w:sz="0" w:space="0" w:color="auto"/>
        <w:right w:val="none" w:sz="0" w:space="0" w:color="auto"/>
      </w:divBdr>
      <w:divsChild>
        <w:div w:id="858473647">
          <w:marLeft w:val="0"/>
          <w:marRight w:val="0"/>
          <w:marTop w:val="0"/>
          <w:marBottom w:val="0"/>
          <w:divBdr>
            <w:top w:val="none" w:sz="0" w:space="0" w:color="auto"/>
            <w:left w:val="none" w:sz="0" w:space="0" w:color="auto"/>
            <w:bottom w:val="none" w:sz="0" w:space="0" w:color="auto"/>
            <w:right w:val="none" w:sz="0" w:space="0" w:color="auto"/>
          </w:divBdr>
          <w:divsChild>
            <w:div w:id="1643000023">
              <w:marLeft w:val="0"/>
              <w:marRight w:val="0"/>
              <w:marTop w:val="630"/>
              <w:marBottom w:val="630"/>
              <w:divBdr>
                <w:top w:val="none" w:sz="0" w:space="0" w:color="auto"/>
                <w:left w:val="none" w:sz="0" w:space="0" w:color="auto"/>
                <w:bottom w:val="none" w:sz="0" w:space="0" w:color="auto"/>
                <w:right w:val="none" w:sz="0" w:space="0" w:color="auto"/>
              </w:divBdr>
              <w:divsChild>
                <w:div w:id="1109276375">
                  <w:marLeft w:val="-375"/>
                  <w:marRight w:val="-375"/>
                  <w:marTop w:val="0"/>
                  <w:marBottom w:val="0"/>
                  <w:divBdr>
                    <w:top w:val="none" w:sz="0" w:space="0" w:color="auto"/>
                    <w:left w:val="none" w:sz="0" w:space="0" w:color="auto"/>
                    <w:bottom w:val="none" w:sz="0" w:space="0" w:color="auto"/>
                    <w:right w:val="none" w:sz="0" w:space="0" w:color="auto"/>
                  </w:divBdr>
                  <w:divsChild>
                    <w:div w:id="1448086614">
                      <w:marLeft w:val="0"/>
                      <w:marRight w:val="0"/>
                      <w:marTop w:val="0"/>
                      <w:marBottom w:val="0"/>
                      <w:divBdr>
                        <w:top w:val="none" w:sz="0" w:space="0" w:color="auto"/>
                        <w:left w:val="none" w:sz="0" w:space="0" w:color="auto"/>
                        <w:bottom w:val="none" w:sz="0" w:space="0" w:color="auto"/>
                        <w:right w:val="none" w:sz="0" w:space="0" w:color="auto"/>
                      </w:divBdr>
                      <w:divsChild>
                        <w:div w:id="446891074">
                          <w:marLeft w:val="0"/>
                          <w:marRight w:val="0"/>
                          <w:marTop w:val="0"/>
                          <w:marBottom w:val="0"/>
                          <w:divBdr>
                            <w:top w:val="none" w:sz="0" w:space="0" w:color="auto"/>
                            <w:left w:val="none" w:sz="0" w:space="0" w:color="auto"/>
                            <w:bottom w:val="none" w:sz="0" w:space="0" w:color="auto"/>
                            <w:right w:val="none" w:sz="0" w:space="0" w:color="auto"/>
                          </w:divBdr>
                          <w:divsChild>
                            <w:div w:id="1757937768">
                              <w:marLeft w:val="0"/>
                              <w:marRight w:val="0"/>
                              <w:marTop w:val="0"/>
                              <w:marBottom w:val="0"/>
                              <w:divBdr>
                                <w:top w:val="none" w:sz="0" w:space="0" w:color="auto"/>
                                <w:left w:val="none" w:sz="0" w:space="0" w:color="auto"/>
                                <w:bottom w:val="none" w:sz="0" w:space="0" w:color="auto"/>
                                <w:right w:val="none" w:sz="0" w:space="0" w:color="auto"/>
                              </w:divBdr>
                            </w:div>
                          </w:divsChild>
                        </w:div>
                        <w:div w:id="1780948815">
                          <w:marLeft w:val="0"/>
                          <w:marRight w:val="0"/>
                          <w:marTop w:val="0"/>
                          <w:marBottom w:val="330"/>
                          <w:divBdr>
                            <w:top w:val="none" w:sz="0" w:space="0" w:color="auto"/>
                            <w:left w:val="none" w:sz="0" w:space="0" w:color="auto"/>
                            <w:bottom w:val="none" w:sz="0" w:space="0" w:color="auto"/>
                            <w:right w:val="none" w:sz="0" w:space="0" w:color="auto"/>
                          </w:divBdr>
                        </w:div>
                        <w:div w:id="699548033">
                          <w:marLeft w:val="0"/>
                          <w:marRight w:val="0"/>
                          <w:marTop w:val="0"/>
                          <w:marBottom w:val="0"/>
                          <w:divBdr>
                            <w:top w:val="none" w:sz="0" w:space="0" w:color="auto"/>
                            <w:left w:val="none" w:sz="0" w:space="0" w:color="auto"/>
                            <w:bottom w:val="none" w:sz="0" w:space="0" w:color="auto"/>
                            <w:right w:val="none" w:sz="0" w:space="0" w:color="auto"/>
                          </w:divBdr>
                        </w:div>
                        <w:div w:id="534735646">
                          <w:marLeft w:val="0"/>
                          <w:marRight w:val="0"/>
                          <w:marTop w:val="0"/>
                          <w:marBottom w:val="0"/>
                          <w:divBdr>
                            <w:top w:val="none" w:sz="0" w:space="0" w:color="auto"/>
                            <w:left w:val="none" w:sz="0" w:space="0" w:color="auto"/>
                            <w:bottom w:val="none" w:sz="0" w:space="0" w:color="auto"/>
                            <w:right w:val="none" w:sz="0" w:space="0" w:color="auto"/>
                          </w:divBdr>
                        </w:div>
                        <w:div w:id="44925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39639">
      <w:bodyDiv w:val="1"/>
      <w:marLeft w:val="0"/>
      <w:marRight w:val="0"/>
      <w:marTop w:val="0"/>
      <w:marBottom w:val="0"/>
      <w:divBdr>
        <w:top w:val="none" w:sz="0" w:space="0" w:color="auto"/>
        <w:left w:val="none" w:sz="0" w:space="0" w:color="auto"/>
        <w:bottom w:val="none" w:sz="0" w:space="0" w:color="auto"/>
        <w:right w:val="none" w:sz="0" w:space="0" w:color="auto"/>
      </w:divBdr>
      <w:divsChild>
        <w:div w:id="1262765631">
          <w:marLeft w:val="0"/>
          <w:marRight w:val="0"/>
          <w:marTop w:val="0"/>
          <w:marBottom w:val="0"/>
          <w:divBdr>
            <w:top w:val="none" w:sz="0" w:space="0" w:color="auto"/>
            <w:left w:val="none" w:sz="0" w:space="0" w:color="auto"/>
            <w:bottom w:val="none" w:sz="0" w:space="0" w:color="auto"/>
            <w:right w:val="none" w:sz="0" w:space="0" w:color="auto"/>
          </w:divBdr>
          <w:divsChild>
            <w:div w:id="942961130">
              <w:marLeft w:val="-240"/>
              <w:marRight w:val="-240"/>
              <w:marTop w:val="0"/>
              <w:marBottom w:val="0"/>
              <w:divBdr>
                <w:top w:val="none" w:sz="0" w:space="0" w:color="auto"/>
                <w:left w:val="none" w:sz="0" w:space="0" w:color="auto"/>
                <w:bottom w:val="none" w:sz="0" w:space="0" w:color="auto"/>
                <w:right w:val="none" w:sz="0" w:space="0" w:color="auto"/>
              </w:divBdr>
              <w:divsChild>
                <w:div w:id="1406489420">
                  <w:marLeft w:val="0"/>
                  <w:marRight w:val="0"/>
                  <w:marTop w:val="288"/>
                  <w:marBottom w:val="0"/>
                  <w:divBdr>
                    <w:top w:val="none" w:sz="0" w:space="0" w:color="auto"/>
                    <w:left w:val="none" w:sz="0" w:space="0" w:color="auto"/>
                    <w:bottom w:val="none" w:sz="0" w:space="0" w:color="auto"/>
                    <w:right w:val="none" w:sz="0" w:space="0" w:color="auto"/>
                  </w:divBdr>
                  <w:divsChild>
                    <w:div w:id="431822108">
                      <w:marLeft w:val="0"/>
                      <w:marRight w:val="0"/>
                      <w:marTop w:val="0"/>
                      <w:marBottom w:val="0"/>
                      <w:divBdr>
                        <w:top w:val="none" w:sz="0" w:space="0" w:color="auto"/>
                        <w:left w:val="none" w:sz="0" w:space="0" w:color="auto"/>
                        <w:bottom w:val="none" w:sz="0" w:space="0" w:color="auto"/>
                        <w:right w:val="none" w:sz="0" w:space="0" w:color="auto"/>
                      </w:divBdr>
                      <w:divsChild>
                        <w:div w:id="1392581084">
                          <w:marLeft w:val="0"/>
                          <w:marRight w:val="0"/>
                          <w:marTop w:val="0"/>
                          <w:marBottom w:val="0"/>
                          <w:divBdr>
                            <w:top w:val="none" w:sz="0" w:space="0" w:color="auto"/>
                            <w:left w:val="none" w:sz="0" w:space="0" w:color="auto"/>
                            <w:bottom w:val="none" w:sz="0" w:space="0" w:color="auto"/>
                            <w:right w:val="none" w:sz="0" w:space="0" w:color="auto"/>
                          </w:divBdr>
                          <w:divsChild>
                            <w:div w:id="43745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81109">
      <w:bodyDiv w:val="1"/>
      <w:marLeft w:val="0"/>
      <w:marRight w:val="0"/>
      <w:marTop w:val="0"/>
      <w:marBottom w:val="0"/>
      <w:divBdr>
        <w:top w:val="none" w:sz="0" w:space="0" w:color="auto"/>
        <w:left w:val="none" w:sz="0" w:space="0" w:color="auto"/>
        <w:bottom w:val="none" w:sz="0" w:space="0" w:color="auto"/>
        <w:right w:val="none" w:sz="0" w:space="0" w:color="auto"/>
      </w:divBdr>
      <w:divsChild>
        <w:div w:id="728766372">
          <w:marLeft w:val="0"/>
          <w:marRight w:val="0"/>
          <w:marTop w:val="0"/>
          <w:marBottom w:val="0"/>
          <w:divBdr>
            <w:top w:val="none" w:sz="0" w:space="0" w:color="auto"/>
            <w:left w:val="none" w:sz="0" w:space="0" w:color="auto"/>
            <w:bottom w:val="none" w:sz="0" w:space="0" w:color="auto"/>
            <w:right w:val="none" w:sz="0" w:space="0" w:color="auto"/>
          </w:divBdr>
          <w:divsChild>
            <w:div w:id="79450429">
              <w:marLeft w:val="0"/>
              <w:marRight w:val="0"/>
              <w:marTop w:val="630"/>
              <w:marBottom w:val="630"/>
              <w:divBdr>
                <w:top w:val="none" w:sz="0" w:space="0" w:color="auto"/>
                <w:left w:val="none" w:sz="0" w:space="0" w:color="auto"/>
                <w:bottom w:val="none" w:sz="0" w:space="0" w:color="auto"/>
                <w:right w:val="none" w:sz="0" w:space="0" w:color="auto"/>
              </w:divBdr>
              <w:divsChild>
                <w:div w:id="2068451232">
                  <w:marLeft w:val="-375"/>
                  <w:marRight w:val="-375"/>
                  <w:marTop w:val="0"/>
                  <w:marBottom w:val="0"/>
                  <w:divBdr>
                    <w:top w:val="none" w:sz="0" w:space="0" w:color="auto"/>
                    <w:left w:val="none" w:sz="0" w:space="0" w:color="auto"/>
                    <w:bottom w:val="none" w:sz="0" w:space="0" w:color="auto"/>
                    <w:right w:val="none" w:sz="0" w:space="0" w:color="auto"/>
                  </w:divBdr>
                  <w:divsChild>
                    <w:div w:id="610746039">
                      <w:marLeft w:val="0"/>
                      <w:marRight w:val="0"/>
                      <w:marTop w:val="0"/>
                      <w:marBottom w:val="0"/>
                      <w:divBdr>
                        <w:top w:val="none" w:sz="0" w:space="0" w:color="auto"/>
                        <w:left w:val="none" w:sz="0" w:space="0" w:color="auto"/>
                        <w:bottom w:val="none" w:sz="0" w:space="0" w:color="auto"/>
                        <w:right w:val="none" w:sz="0" w:space="0" w:color="auto"/>
                      </w:divBdr>
                      <w:divsChild>
                        <w:div w:id="561527067">
                          <w:marLeft w:val="0"/>
                          <w:marRight w:val="0"/>
                          <w:marTop w:val="0"/>
                          <w:marBottom w:val="0"/>
                          <w:divBdr>
                            <w:top w:val="none" w:sz="0" w:space="0" w:color="auto"/>
                            <w:left w:val="none" w:sz="0" w:space="0" w:color="auto"/>
                            <w:bottom w:val="none" w:sz="0" w:space="0" w:color="auto"/>
                            <w:right w:val="none" w:sz="0" w:space="0" w:color="auto"/>
                          </w:divBdr>
                          <w:divsChild>
                            <w:div w:id="284627730">
                              <w:marLeft w:val="0"/>
                              <w:marRight w:val="0"/>
                              <w:marTop w:val="0"/>
                              <w:marBottom w:val="0"/>
                              <w:divBdr>
                                <w:top w:val="none" w:sz="0" w:space="0" w:color="auto"/>
                                <w:left w:val="none" w:sz="0" w:space="0" w:color="auto"/>
                                <w:bottom w:val="none" w:sz="0" w:space="0" w:color="auto"/>
                                <w:right w:val="none" w:sz="0" w:space="0" w:color="auto"/>
                              </w:divBdr>
                            </w:div>
                          </w:divsChild>
                        </w:div>
                        <w:div w:id="1733849475">
                          <w:marLeft w:val="0"/>
                          <w:marRight w:val="0"/>
                          <w:marTop w:val="0"/>
                          <w:marBottom w:val="330"/>
                          <w:divBdr>
                            <w:top w:val="none" w:sz="0" w:space="0" w:color="auto"/>
                            <w:left w:val="none" w:sz="0" w:space="0" w:color="auto"/>
                            <w:bottom w:val="none" w:sz="0" w:space="0" w:color="auto"/>
                            <w:right w:val="none" w:sz="0" w:space="0" w:color="auto"/>
                          </w:divBdr>
                        </w:div>
                        <w:div w:id="1804930691">
                          <w:marLeft w:val="0"/>
                          <w:marRight w:val="0"/>
                          <w:marTop w:val="0"/>
                          <w:marBottom w:val="0"/>
                          <w:divBdr>
                            <w:top w:val="none" w:sz="0" w:space="0" w:color="auto"/>
                            <w:left w:val="none" w:sz="0" w:space="0" w:color="auto"/>
                            <w:bottom w:val="none" w:sz="0" w:space="0" w:color="auto"/>
                            <w:right w:val="none" w:sz="0" w:space="0" w:color="auto"/>
                          </w:divBdr>
                        </w:div>
                        <w:div w:id="1174224106">
                          <w:marLeft w:val="0"/>
                          <w:marRight w:val="0"/>
                          <w:marTop w:val="0"/>
                          <w:marBottom w:val="0"/>
                          <w:divBdr>
                            <w:top w:val="none" w:sz="0" w:space="0" w:color="auto"/>
                            <w:left w:val="none" w:sz="0" w:space="0" w:color="auto"/>
                            <w:bottom w:val="none" w:sz="0" w:space="0" w:color="auto"/>
                            <w:right w:val="none" w:sz="0" w:space="0" w:color="auto"/>
                          </w:divBdr>
                        </w:div>
                        <w:div w:id="1052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24276">
      <w:bodyDiv w:val="1"/>
      <w:marLeft w:val="0"/>
      <w:marRight w:val="0"/>
      <w:marTop w:val="0"/>
      <w:marBottom w:val="0"/>
      <w:divBdr>
        <w:top w:val="none" w:sz="0" w:space="0" w:color="auto"/>
        <w:left w:val="none" w:sz="0" w:space="0" w:color="auto"/>
        <w:bottom w:val="none" w:sz="0" w:space="0" w:color="auto"/>
        <w:right w:val="none" w:sz="0" w:space="0" w:color="auto"/>
      </w:divBdr>
      <w:divsChild>
        <w:div w:id="1775704326">
          <w:marLeft w:val="0"/>
          <w:marRight w:val="0"/>
          <w:marTop w:val="300"/>
          <w:marBottom w:val="300"/>
          <w:divBdr>
            <w:top w:val="none" w:sz="0" w:space="0" w:color="auto"/>
            <w:left w:val="none" w:sz="0" w:space="0" w:color="auto"/>
            <w:bottom w:val="none" w:sz="0" w:space="0" w:color="auto"/>
            <w:right w:val="none" w:sz="0" w:space="0" w:color="auto"/>
          </w:divBdr>
          <w:divsChild>
            <w:div w:id="1440178632">
              <w:marLeft w:val="0"/>
              <w:marRight w:val="0"/>
              <w:marTop w:val="0"/>
              <w:marBottom w:val="0"/>
              <w:divBdr>
                <w:top w:val="none" w:sz="0" w:space="0" w:color="auto"/>
                <w:left w:val="none" w:sz="0" w:space="0" w:color="auto"/>
                <w:bottom w:val="none" w:sz="0" w:space="0" w:color="auto"/>
                <w:right w:val="none" w:sz="0" w:space="0" w:color="auto"/>
              </w:divBdr>
              <w:divsChild>
                <w:div w:id="1685279922">
                  <w:marLeft w:val="0"/>
                  <w:marRight w:val="0"/>
                  <w:marTop w:val="0"/>
                  <w:marBottom w:val="0"/>
                  <w:divBdr>
                    <w:top w:val="none" w:sz="0" w:space="0" w:color="auto"/>
                    <w:left w:val="none" w:sz="0" w:space="0" w:color="auto"/>
                    <w:bottom w:val="none" w:sz="0" w:space="0" w:color="auto"/>
                    <w:right w:val="none" w:sz="0" w:space="0" w:color="auto"/>
                  </w:divBdr>
                  <w:divsChild>
                    <w:div w:id="15845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843663">
      <w:bodyDiv w:val="1"/>
      <w:marLeft w:val="0"/>
      <w:marRight w:val="0"/>
      <w:marTop w:val="0"/>
      <w:marBottom w:val="0"/>
      <w:divBdr>
        <w:top w:val="none" w:sz="0" w:space="0" w:color="auto"/>
        <w:left w:val="none" w:sz="0" w:space="0" w:color="auto"/>
        <w:bottom w:val="none" w:sz="0" w:space="0" w:color="auto"/>
        <w:right w:val="none" w:sz="0" w:space="0" w:color="auto"/>
      </w:divBdr>
      <w:divsChild>
        <w:div w:id="1306860189">
          <w:marLeft w:val="0"/>
          <w:marRight w:val="0"/>
          <w:marTop w:val="0"/>
          <w:marBottom w:val="0"/>
          <w:divBdr>
            <w:top w:val="none" w:sz="0" w:space="0" w:color="auto"/>
            <w:left w:val="none" w:sz="0" w:space="0" w:color="auto"/>
            <w:bottom w:val="none" w:sz="0" w:space="0" w:color="auto"/>
            <w:right w:val="none" w:sz="0" w:space="0" w:color="auto"/>
          </w:divBdr>
          <w:divsChild>
            <w:div w:id="524486885">
              <w:marLeft w:val="0"/>
              <w:marRight w:val="0"/>
              <w:marTop w:val="0"/>
              <w:marBottom w:val="0"/>
              <w:divBdr>
                <w:top w:val="none" w:sz="0" w:space="0" w:color="auto"/>
                <w:left w:val="none" w:sz="0" w:space="0" w:color="auto"/>
                <w:bottom w:val="none" w:sz="0" w:space="0" w:color="auto"/>
                <w:right w:val="none" w:sz="0" w:space="0" w:color="auto"/>
              </w:divBdr>
              <w:divsChild>
                <w:div w:id="374934459">
                  <w:marLeft w:val="0"/>
                  <w:marRight w:val="0"/>
                  <w:marTop w:val="1500"/>
                  <w:marBottom w:val="0"/>
                  <w:divBdr>
                    <w:top w:val="none" w:sz="0" w:space="0" w:color="auto"/>
                    <w:left w:val="none" w:sz="0" w:space="0" w:color="auto"/>
                    <w:bottom w:val="none" w:sz="0" w:space="0" w:color="auto"/>
                    <w:right w:val="none" w:sz="0" w:space="0" w:color="auto"/>
                  </w:divBdr>
                  <w:divsChild>
                    <w:div w:id="1398554435">
                      <w:marLeft w:val="-225"/>
                      <w:marRight w:val="-225"/>
                      <w:marTop w:val="0"/>
                      <w:marBottom w:val="0"/>
                      <w:divBdr>
                        <w:top w:val="none" w:sz="0" w:space="0" w:color="auto"/>
                        <w:left w:val="none" w:sz="0" w:space="0" w:color="auto"/>
                        <w:bottom w:val="none" w:sz="0" w:space="0" w:color="auto"/>
                        <w:right w:val="none" w:sz="0" w:space="0" w:color="auto"/>
                      </w:divBdr>
                      <w:divsChild>
                        <w:div w:id="544291136">
                          <w:marLeft w:val="0"/>
                          <w:marRight w:val="0"/>
                          <w:marTop w:val="0"/>
                          <w:marBottom w:val="0"/>
                          <w:divBdr>
                            <w:top w:val="none" w:sz="0" w:space="0" w:color="auto"/>
                            <w:left w:val="none" w:sz="0" w:space="0" w:color="auto"/>
                            <w:bottom w:val="none" w:sz="0" w:space="0" w:color="auto"/>
                            <w:right w:val="none" w:sz="0" w:space="0" w:color="auto"/>
                          </w:divBdr>
                          <w:divsChild>
                            <w:div w:id="51391362">
                              <w:marLeft w:val="0"/>
                              <w:marRight w:val="0"/>
                              <w:marTop w:val="75"/>
                              <w:marBottom w:val="1200"/>
                              <w:divBdr>
                                <w:top w:val="none" w:sz="0" w:space="0" w:color="auto"/>
                                <w:left w:val="none" w:sz="0" w:space="0" w:color="auto"/>
                                <w:bottom w:val="none" w:sz="0" w:space="0" w:color="auto"/>
                                <w:right w:val="none" w:sz="0" w:space="0" w:color="auto"/>
                              </w:divBdr>
                              <w:divsChild>
                                <w:div w:id="186917050">
                                  <w:marLeft w:val="0"/>
                                  <w:marRight w:val="0"/>
                                  <w:marTop w:val="0"/>
                                  <w:marBottom w:val="0"/>
                                  <w:divBdr>
                                    <w:top w:val="none" w:sz="0" w:space="0" w:color="auto"/>
                                    <w:left w:val="none" w:sz="0" w:space="0" w:color="auto"/>
                                    <w:bottom w:val="none" w:sz="0" w:space="0" w:color="auto"/>
                                    <w:right w:val="none" w:sz="0" w:space="0" w:color="auto"/>
                                  </w:divBdr>
                                  <w:divsChild>
                                    <w:div w:id="171503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001911">
      <w:bodyDiv w:val="1"/>
      <w:marLeft w:val="0"/>
      <w:marRight w:val="0"/>
      <w:marTop w:val="0"/>
      <w:marBottom w:val="0"/>
      <w:divBdr>
        <w:top w:val="none" w:sz="0" w:space="0" w:color="auto"/>
        <w:left w:val="none" w:sz="0" w:space="0" w:color="auto"/>
        <w:bottom w:val="none" w:sz="0" w:space="0" w:color="auto"/>
        <w:right w:val="none" w:sz="0" w:space="0" w:color="auto"/>
      </w:divBdr>
      <w:divsChild>
        <w:div w:id="1313674109">
          <w:marLeft w:val="0"/>
          <w:marRight w:val="0"/>
          <w:marTop w:val="0"/>
          <w:marBottom w:val="0"/>
          <w:divBdr>
            <w:top w:val="none" w:sz="0" w:space="0" w:color="auto"/>
            <w:left w:val="none" w:sz="0" w:space="0" w:color="auto"/>
            <w:bottom w:val="none" w:sz="0" w:space="0" w:color="auto"/>
            <w:right w:val="none" w:sz="0" w:space="0" w:color="auto"/>
          </w:divBdr>
          <w:divsChild>
            <w:div w:id="986204994">
              <w:marLeft w:val="0"/>
              <w:marRight w:val="0"/>
              <w:marTop w:val="0"/>
              <w:marBottom w:val="0"/>
              <w:divBdr>
                <w:top w:val="none" w:sz="0" w:space="0" w:color="auto"/>
                <w:left w:val="none" w:sz="0" w:space="0" w:color="auto"/>
                <w:bottom w:val="none" w:sz="0" w:space="0" w:color="auto"/>
                <w:right w:val="none" w:sz="0" w:space="0" w:color="auto"/>
              </w:divBdr>
              <w:divsChild>
                <w:div w:id="1278364856">
                  <w:marLeft w:val="0"/>
                  <w:marRight w:val="0"/>
                  <w:marTop w:val="1500"/>
                  <w:marBottom w:val="0"/>
                  <w:divBdr>
                    <w:top w:val="none" w:sz="0" w:space="0" w:color="auto"/>
                    <w:left w:val="none" w:sz="0" w:space="0" w:color="auto"/>
                    <w:bottom w:val="none" w:sz="0" w:space="0" w:color="auto"/>
                    <w:right w:val="none" w:sz="0" w:space="0" w:color="auto"/>
                  </w:divBdr>
                  <w:divsChild>
                    <w:div w:id="1494762065">
                      <w:marLeft w:val="-225"/>
                      <w:marRight w:val="-225"/>
                      <w:marTop w:val="0"/>
                      <w:marBottom w:val="0"/>
                      <w:divBdr>
                        <w:top w:val="none" w:sz="0" w:space="0" w:color="auto"/>
                        <w:left w:val="none" w:sz="0" w:space="0" w:color="auto"/>
                        <w:bottom w:val="none" w:sz="0" w:space="0" w:color="auto"/>
                        <w:right w:val="none" w:sz="0" w:space="0" w:color="auto"/>
                      </w:divBdr>
                      <w:divsChild>
                        <w:div w:id="178550915">
                          <w:marLeft w:val="0"/>
                          <w:marRight w:val="0"/>
                          <w:marTop w:val="0"/>
                          <w:marBottom w:val="0"/>
                          <w:divBdr>
                            <w:top w:val="none" w:sz="0" w:space="0" w:color="auto"/>
                            <w:left w:val="none" w:sz="0" w:space="0" w:color="auto"/>
                            <w:bottom w:val="none" w:sz="0" w:space="0" w:color="auto"/>
                            <w:right w:val="none" w:sz="0" w:space="0" w:color="auto"/>
                          </w:divBdr>
                          <w:divsChild>
                            <w:div w:id="1119833061">
                              <w:marLeft w:val="0"/>
                              <w:marRight w:val="0"/>
                              <w:marTop w:val="0"/>
                              <w:marBottom w:val="0"/>
                              <w:divBdr>
                                <w:top w:val="none" w:sz="0" w:space="0" w:color="auto"/>
                                <w:left w:val="none" w:sz="0" w:space="0" w:color="auto"/>
                                <w:bottom w:val="none" w:sz="0" w:space="0" w:color="auto"/>
                                <w:right w:val="none" w:sz="0" w:space="0" w:color="auto"/>
                              </w:divBdr>
                              <w:divsChild>
                                <w:div w:id="1511679189">
                                  <w:marLeft w:val="0"/>
                                  <w:marRight w:val="0"/>
                                  <w:marTop w:val="0"/>
                                  <w:marBottom w:val="450"/>
                                  <w:divBdr>
                                    <w:top w:val="none" w:sz="0" w:space="0" w:color="auto"/>
                                    <w:left w:val="none" w:sz="0" w:space="0" w:color="auto"/>
                                    <w:bottom w:val="none" w:sz="0" w:space="0" w:color="auto"/>
                                    <w:right w:val="none" w:sz="0" w:space="0" w:color="auto"/>
                                  </w:divBdr>
                                </w:div>
                                <w:div w:id="873351520">
                                  <w:marLeft w:val="-225"/>
                                  <w:marRight w:val="-225"/>
                                  <w:marTop w:val="0"/>
                                  <w:marBottom w:val="0"/>
                                  <w:divBdr>
                                    <w:top w:val="none" w:sz="0" w:space="0" w:color="auto"/>
                                    <w:left w:val="none" w:sz="0" w:space="0" w:color="auto"/>
                                    <w:bottom w:val="none" w:sz="0" w:space="0" w:color="auto"/>
                                    <w:right w:val="none" w:sz="0" w:space="0" w:color="auto"/>
                                  </w:divBdr>
                                  <w:divsChild>
                                    <w:div w:id="1740203344">
                                      <w:marLeft w:val="0"/>
                                      <w:marRight w:val="0"/>
                                      <w:marTop w:val="0"/>
                                      <w:marBottom w:val="0"/>
                                      <w:divBdr>
                                        <w:top w:val="none" w:sz="0" w:space="0" w:color="auto"/>
                                        <w:left w:val="none" w:sz="0" w:space="0" w:color="auto"/>
                                        <w:bottom w:val="none" w:sz="0" w:space="0" w:color="auto"/>
                                        <w:right w:val="none" w:sz="0" w:space="0" w:color="auto"/>
                                      </w:divBdr>
                                      <w:divsChild>
                                        <w:div w:id="1747990699">
                                          <w:marLeft w:val="0"/>
                                          <w:marRight w:val="0"/>
                                          <w:marTop w:val="0"/>
                                          <w:marBottom w:val="0"/>
                                          <w:divBdr>
                                            <w:top w:val="none" w:sz="0" w:space="0" w:color="auto"/>
                                            <w:left w:val="none" w:sz="0" w:space="0" w:color="auto"/>
                                            <w:bottom w:val="none" w:sz="0" w:space="0" w:color="auto"/>
                                            <w:right w:val="none" w:sz="0" w:space="0" w:color="auto"/>
                                          </w:divBdr>
                                        </w:div>
                                        <w:div w:id="1369141315">
                                          <w:marLeft w:val="0"/>
                                          <w:marRight w:val="0"/>
                                          <w:marTop w:val="0"/>
                                          <w:marBottom w:val="0"/>
                                          <w:divBdr>
                                            <w:top w:val="none" w:sz="0" w:space="0" w:color="auto"/>
                                            <w:left w:val="none" w:sz="0" w:space="0" w:color="auto"/>
                                            <w:bottom w:val="none" w:sz="0" w:space="0" w:color="auto"/>
                                            <w:right w:val="none" w:sz="0" w:space="0" w:color="auto"/>
                                          </w:divBdr>
                                          <w:divsChild>
                                            <w:div w:id="50155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0966">
                                      <w:marLeft w:val="0"/>
                                      <w:marRight w:val="0"/>
                                      <w:marTop w:val="0"/>
                                      <w:marBottom w:val="0"/>
                                      <w:divBdr>
                                        <w:top w:val="none" w:sz="0" w:space="0" w:color="auto"/>
                                        <w:left w:val="none" w:sz="0" w:space="0" w:color="auto"/>
                                        <w:bottom w:val="none" w:sz="0" w:space="0" w:color="auto"/>
                                        <w:right w:val="none" w:sz="0" w:space="0" w:color="auto"/>
                                      </w:divBdr>
                                      <w:divsChild>
                                        <w:div w:id="1422875519">
                                          <w:marLeft w:val="0"/>
                                          <w:marRight w:val="0"/>
                                          <w:marTop w:val="0"/>
                                          <w:marBottom w:val="0"/>
                                          <w:divBdr>
                                            <w:top w:val="none" w:sz="0" w:space="0" w:color="auto"/>
                                            <w:left w:val="none" w:sz="0" w:space="0" w:color="auto"/>
                                            <w:bottom w:val="none" w:sz="0" w:space="0" w:color="auto"/>
                                            <w:right w:val="none" w:sz="0" w:space="0" w:color="auto"/>
                                          </w:divBdr>
                                        </w:div>
                                        <w:div w:id="1197506249">
                                          <w:marLeft w:val="0"/>
                                          <w:marRight w:val="0"/>
                                          <w:marTop w:val="0"/>
                                          <w:marBottom w:val="0"/>
                                          <w:divBdr>
                                            <w:top w:val="none" w:sz="0" w:space="0" w:color="auto"/>
                                            <w:left w:val="none" w:sz="0" w:space="0" w:color="auto"/>
                                            <w:bottom w:val="none" w:sz="0" w:space="0" w:color="auto"/>
                                            <w:right w:val="none" w:sz="0" w:space="0" w:color="auto"/>
                                          </w:divBdr>
                                        </w:div>
                                        <w:div w:id="20854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79241">
                                  <w:marLeft w:val="0"/>
                                  <w:marRight w:val="0"/>
                                  <w:marTop w:val="300"/>
                                  <w:marBottom w:val="0"/>
                                  <w:divBdr>
                                    <w:top w:val="none" w:sz="0" w:space="0" w:color="auto"/>
                                    <w:left w:val="none" w:sz="0" w:space="0" w:color="auto"/>
                                    <w:bottom w:val="none" w:sz="0" w:space="0" w:color="auto"/>
                                    <w:right w:val="none" w:sz="0" w:space="0" w:color="auto"/>
                                  </w:divBdr>
                                </w:div>
                              </w:divsChild>
                            </w:div>
                            <w:div w:id="1593318122">
                              <w:marLeft w:val="0"/>
                              <w:marRight w:val="0"/>
                              <w:marTop w:val="75"/>
                              <w:marBottom w:val="1200"/>
                              <w:divBdr>
                                <w:top w:val="none" w:sz="0" w:space="0" w:color="auto"/>
                                <w:left w:val="none" w:sz="0" w:space="0" w:color="auto"/>
                                <w:bottom w:val="none" w:sz="0" w:space="0" w:color="auto"/>
                                <w:right w:val="none" w:sz="0" w:space="0" w:color="auto"/>
                              </w:divBdr>
                              <w:divsChild>
                                <w:div w:id="411971917">
                                  <w:marLeft w:val="0"/>
                                  <w:marRight w:val="0"/>
                                  <w:marTop w:val="0"/>
                                  <w:marBottom w:val="0"/>
                                  <w:divBdr>
                                    <w:top w:val="none" w:sz="0" w:space="0" w:color="auto"/>
                                    <w:left w:val="none" w:sz="0" w:space="0" w:color="auto"/>
                                    <w:bottom w:val="none" w:sz="0" w:space="0" w:color="auto"/>
                                    <w:right w:val="none" w:sz="0" w:space="0" w:color="auto"/>
                                  </w:divBdr>
                                  <w:divsChild>
                                    <w:div w:id="1698189452">
                                      <w:marLeft w:val="0"/>
                                      <w:marRight w:val="0"/>
                                      <w:marTop w:val="0"/>
                                      <w:marBottom w:val="0"/>
                                      <w:divBdr>
                                        <w:top w:val="none" w:sz="0" w:space="0" w:color="auto"/>
                                        <w:left w:val="none" w:sz="0" w:space="0" w:color="auto"/>
                                        <w:bottom w:val="none" w:sz="0" w:space="0" w:color="auto"/>
                                        <w:right w:val="none" w:sz="0" w:space="0" w:color="auto"/>
                                      </w:divBdr>
                                      <w:divsChild>
                                        <w:div w:id="818692820">
                                          <w:marLeft w:val="0"/>
                                          <w:marRight w:val="0"/>
                                          <w:marTop w:val="0"/>
                                          <w:marBottom w:val="0"/>
                                          <w:divBdr>
                                            <w:top w:val="none" w:sz="0" w:space="0" w:color="auto"/>
                                            <w:left w:val="none" w:sz="0" w:space="0" w:color="auto"/>
                                            <w:bottom w:val="none" w:sz="0" w:space="0" w:color="auto"/>
                                            <w:right w:val="none" w:sz="0" w:space="0" w:color="auto"/>
                                          </w:divBdr>
                                          <w:divsChild>
                                            <w:div w:id="9043349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18198914">
                                      <w:marLeft w:val="0"/>
                                      <w:marRight w:val="0"/>
                                      <w:marTop w:val="0"/>
                                      <w:marBottom w:val="0"/>
                                      <w:divBdr>
                                        <w:top w:val="none" w:sz="0" w:space="0" w:color="auto"/>
                                        <w:left w:val="none" w:sz="0" w:space="0" w:color="auto"/>
                                        <w:bottom w:val="none" w:sz="0" w:space="0" w:color="auto"/>
                                        <w:right w:val="none" w:sz="0" w:space="0" w:color="auto"/>
                                      </w:divBdr>
                                      <w:divsChild>
                                        <w:div w:id="1922062103">
                                          <w:marLeft w:val="0"/>
                                          <w:marRight w:val="0"/>
                                          <w:marTop w:val="0"/>
                                          <w:marBottom w:val="240"/>
                                          <w:divBdr>
                                            <w:top w:val="single" w:sz="6" w:space="8" w:color="FFFFFF"/>
                                            <w:left w:val="single" w:sz="6" w:space="8" w:color="FFFFFF"/>
                                            <w:bottom w:val="single" w:sz="6" w:space="8" w:color="FFFFFF"/>
                                            <w:right w:val="single" w:sz="6" w:space="8" w:color="FFFFFF"/>
                                          </w:divBdr>
                                        </w:div>
                                      </w:divsChild>
                                    </w:div>
                                  </w:divsChild>
                                </w:div>
                              </w:divsChild>
                            </w:div>
                          </w:divsChild>
                        </w:div>
                      </w:divsChild>
                    </w:div>
                  </w:divsChild>
                </w:div>
              </w:divsChild>
            </w:div>
          </w:divsChild>
        </w:div>
      </w:divsChild>
    </w:div>
    <w:div w:id="967978194">
      <w:bodyDiv w:val="1"/>
      <w:marLeft w:val="0"/>
      <w:marRight w:val="0"/>
      <w:marTop w:val="0"/>
      <w:marBottom w:val="0"/>
      <w:divBdr>
        <w:top w:val="none" w:sz="0" w:space="0" w:color="auto"/>
        <w:left w:val="none" w:sz="0" w:space="0" w:color="auto"/>
        <w:bottom w:val="none" w:sz="0" w:space="0" w:color="auto"/>
        <w:right w:val="none" w:sz="0" w:space="0" w:color="auto"/>
      </w:divBdr>
      <w:divsChild>
        <w:div w:id="1878157321">
          <w:marLeft w:val="0"/>
          <w:marRight w:val="0"/>
          <w:marTop w:val="0"/>
          <w:marBottom w:val="0"/>
          <w:divBdr>
            <w:top w:val="none" w:sz="0" w:space="0" w:color="auto"/>
            <w:left w:val="none" w:sz="0" w:space="0" w:color="auto"/>
            <w:bottom w:val="none" w:sz="0" w:space="0" w:color="auto"/>
            <w:right w:val="none" w:sz="0" w:space="0" w:color="auto"/>
          </w:divBdr>
          <w:divsChild>
            <w:div w:id="299851058">
              <w:marLeft w:val="0"/>
              <w:marRight w:val="0"/>
              <w:marTop w:val="0"/>
              <w:marBottom w:val="0"/>
              <w:divBdr>
                <w:top w:val="none" w:sz="0" w:space="0" w:color="auto"/>
                <w:left w:val="none" w:sz="0" w:space="0" w:color="auto"/>
                <w:bottom w:val="none" w:sz="0" w:space="0" w:color="auto"/>
                <w:right w:val="none" w:sz="0" w:space="0" w:color="auto"/>
              </w:divBdr>
              <w:divsChild>
                <w:div w:id="1053501707">
                  <w:marLeft w:val="0"/>
                  <w:marRight w:val="0"/>
                  <w:marTop w:val="1500"/>
                  <w:marBottom w:val="0"/>
                  <w:divBdr>
                    <w:top w:val="none" w:sz="0" w:space="0" w:color="auto"/>
                    <w:left w:val="none" w:sz="0" w:space="0" w:color="auto"/>
                    <w:bottom w:val="none" w:sz="0" w:space="0" w:color="auto"/>
                    <w:right w:val="none" w:sz="0" w:space="0" w:color="auto"/>
                  </w:divBdr>
                  <w:divsChild>
                    <w:div w:id="385228040">
                      <w:marLeft w:val="-225"/>
                      <w:marRight w:val="-225"/>
                      <w:marTop w:val="0"/>
                      <w:marBottom w:val="0"/>
                      <w:divBdr>
                        <w:top w:val="none" w:sz="0" w:space="0" w:color="auto"/>
                        <w:left w:val="none" w:sz="0" w:space="0" w:color="auto"/>
                        <w:bottom w:val="none" w:sz="0" w:space="0" w:color="auto"/>
                        <w:right w:val="none" w:sz="0" w:space="0" w:color="auto"/>
                      </w:divBdr>
                      <w:divsChild>
                        <w:div w:id="313686966">
                          <w:marLeft w:val="0"/>
                          <w:marRight w:val="0"/>
                          <w:marTop w:val="0"/>
                          <w:marBottom w:val="0"/>
                          <w:divBdr>
                            <w:top w:val="none" w:sz="0" w:space="0" w:color="auto"/>
                            <w:left w:val="none" w:sz="0" w:space="0" w:color="auto"/>
                            <w:bottom w:val="none" w:sz="0" w:space="0" w:color="auto"/>
                            <w:right w:val="none" w:sz="0" w:space="0" w:color="auto"/>
                          </w:divBdr>
                          <w:divsChild>
                            <w:div w:id="1742485622">
                              <w:marLeft w:val="0"/>
                              <w:marRight w:val="0"/>
                              <w:marTop w:val="75"/>
                              <w:marBottom w:val="1200"/>
                              <w:divBdr>
                                <w:top w:val="none" w:sz="0" w:space="0" w:color="auto"/>
                                <w:left w:val="none" w:sz="0" w:space="0" w:color="auto"/>
                                <w:bottom w:val="none" w:sz="0" w:space="0" w:color="auto"/>
                                <w:right w:val="none" w:sz="0" w:space="0" w:color="auto"/>
                              </w:divBdr>
                              <w:divsChild>
                                <w:div w:id="1561012012">
                                  <w:marLeft w:val="0"/>
                                  <w:marRight w:val="0"/>
                                  <w:marTop w:val="0"/>
                                  <w:marBottom w:val="0"/>
                                  <w:divBdr>
                                    <w:top w:val="none" w:sz="0" w:space="0" w:color="auto"/>
                                    <w:left w:val="none" w:sz="0" w:space="0" w:color="auto"/>
                                    <w:bottom w:val="none" w:sz="0" w:space="0" w:color="auto"/>
                                    <w:right w:val="none" w:sz="0" w:space="0" w:color="auto"/>
                                  </w:divBdr>
                                  <w:divsChild>
                                    <w:div w:id="199159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871864">
      <w:bodyDiv w:val="1"/>
      <w:marLeft w:val="0"/>
      <w:marRight w:val="0"/>
      <w:marTop w:val="0"/>
      <w:marBottom w:val="0"/>
      <w:divBdr>
        <w:top w:val="none" w:sz="0" w:space="0" w:color="auto"/>
        <w:left w:val="none" w:sz="0" w:space="0" w:color="auto"/>
        <w:bottom w:val="none" w:sz="0" w:space="0" w:color="auto"/>
        <w:right w:val="none" w:sz="0" w:space="0" w:color="auto"/>
      </w:divBdr>
      <w:divsChild>
        <w:div w:id="327753085">
          <w:marLeft w:val="0"/>
          <w:marRight w:val="0"/>
          <w:marTop w:val="0"/>
          <w:marBottom w:val="0"/>
          <w:divBdr>
            <w:top w:val="none" w:sz="0" w:space="0" w:color="auto"/>
            <w:left w:val="none" w:sz="0" w:space="0" w:color="auto"/>
            <w:bottom w:val="none" w:sz="0" w:space="0" w:color="auto"/>
            <w:right w:val="none" w:sz="0" w:space="0" w:color="auto"/>
          </w:divBdr>
          <w:divsChild>
            <w:div w:id="641932370">
              <w:marLeft w:val="0"/>
              <w:marRight w:val="0"/>
              <w:marTop w:val="630"/>
              <w:marBottom w:val="630"/>
              <w:divBdr>
                <w:top w:val="none" w:sz="0" w:space="0" w:color="auto"/>
                <w:left w:val="none" w:sz="0" w:space="0" w:color="auto"/>
                <w:bottom w:val="none" w:sz="0" w:space="0" w:color="auto"/>
                <w:right w:val="none" w:sz="0" w:space="0" w:color="auto"/>
              </w:divBdr>
              <w:divsChild>
                <w:div w:id="254483589">
                  <w:marLeft w:val="-375"/>
                  <w:marRight w:val="-375"/>
                  <w:marTop w:val="0"/>
                  <w:marBottom w:val="0"/>
                  <w:divBdr>
                    <w:top w:val="none" w:sz="0" w:space="0" w:color="auto"/>
                    <w:left w:val="none" w:sz="0" w:space="0" w:color="auto"/>
                    <w:bottom w:val="none" w:sz="0" w:space="0" w:color="auto"/>
                    <w:right w:val="none" w:sz="0" w:space="0" w:color="auto"/>
                  </w:divBdr>
                  <w:divsChild>
                    <w:div w:id="104471671">
                      <w:marLeft w:val="0"/>
                      <w:marRight w:val="0"/>
                      <w:marTop w:val="0"/>
                      <w:marBottom w:val="0"/>
                      <w:divBdr>
                        <w:top w:val="none" w:sz="0" w:space="0" w:color="auto"/>
                        <w:left w:val="none" w:sz="0" w:space="0" w:color="auto"/>
                        <w:bottom w:val="none" w:sz="0" w:space="0" w:color="auto"/>
                        <w:right w:val="none" w:sz="0" w:space="0" w:color="auto"/>
                      </w:divBdr>
                      <w:divsChild>
                        <w:div w:id="433671372">
                          <w:marLeft w:val="0"/>
                          <w:marRight w:val="0"/>
                          <w:marTop w:val="0"/>
                          <w:marBottom w:val="0"/>
                          <w:divBdr>
                            <w:top w:val="none" w:sz="0" w:space="0" w:color="auto"/>
                            <w:left w:val="none" w:sz="0" w:space="0" w:color="auto"/>
                            <w:bottom w:val="none" w:sz="0" w:space="0" w:color="auto"/>
                            <w:right w:val="none" w:sz="0" w:space="0" w:color="auto"/>
                          </w:divBdr>
                          <w:divsChild>
                            <w:div w:id="16082995">
                              <w:marLeft w:val="0"/>
                              <w:marRight w:val="0"/>
                              <w:marTop w:val="0"/>
                              <w:marBottom w:val="0"/>
                              <w:divBdr>
                                <w:top w:val="none" w:sz="0" w:space="0" w:color="auto"/>
                                <w:left w:val="none" w:sz="0" w:space="0" w:color="auto"/>
                                <w:bottom w:val="none" w:sz="0" w:space="0" w:color="auto"/>
                                <w:right w:val="none" w:sz="0" w:space="0" w:color="auto"/>
                              </w:divBdr>
                            </w:div>
                          </w:divsChild>
                        </w:div>
                        <w:div w:id="1373262353">
                          <w:marLeft w:val="0"/>
                          <w:marRight w:val="0"/>
                          <w:marTop w:val="0"/>
                          <w:marBottom w:val="330"/>
                          <w:divBdr>
                            <w:top w:val="none" w:sz="0" w:space="0" w:color="auto"/>
                            <w:left w:val="none" w:sz="0" w:space="0" w:color="auto"/>
                            <w:bottom w:val="none" w:sz="0" w:space="0" w:color="auto"/>
                            <w:right w:val="none" w:sz="0" w:space="0" w:color="auto"/>
                          </w:divBdr>
                        </w:div>
                        <w:div w:id="1987541596">
                          <w:marLeft w:val="0"/>
                          <w:marRight w:val="0"/>
                          <w:marTop w:val="0"/>
                          <w:marBottom w:val="0"/>
                          <w:divBdr>
                            <w:top w:val="none" w:sz="0" w:space="0" w:color="auto"/>
                            <w:left w:val="none" w:sz="0" w:space="0" w:color="auto"/>
                            <w:bottom w:val="none" w:sz="0" w:space="0" w:color="auto"/>
                            <w:right w:val="none" w:sz="0" w:space="0" w:color="auto"/>
                          </w:divBdr>
                        </w:div>
                        <w:div w:id="958952550">
                          <w:marLeft w:val="0"/>
                          <w:marRight w:val="0"/>
                          <w:marTop w:val="0"/>
                          <w:marBottom w:val="0"/>
                          <w:divBdr>
                            <w:top w:val="none" w:sz="0" w:space="0" w:color="auto"/>
                            <w:left w:val="none" w:sz="0" w:space="0" w:color="auto"/>
                            <w:bottom w:val="none" w:sz="0" w:space="0" w:color="auto"/>
                            <w:right w:val="none" w:sz="0" w:space="0" w:color="auto"/>
                          </w:divBdr>
                        </w:div>
                        <w:div w:id="119650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724650">
      <w:bodyDiv w:val="1"/>
      <w:marLeft w:val="0"/>
      <w:marRight w:val="0"/>
      <w:marTop w:val="0"/>
      <w:marBottom w:val="0"/>
      <w:divBdr>
        <w:top w:val="none" w:sz="0" w:space="0" w:color="auto"/>
        <w:left w:val="none" w:sz="0" w:space="0" w:color="auto"/>
        <w:bottom w:val="none" w:sz="0" w:space="0" w:color="auto"/>
        <w:right w:val="none" w:sz="0" w:space="0" w:color="auto"/>
      </w:divBdr>
      <w:divsChild>
        <w:div w:id="1569460391">
          <w:marLeft w:val="0"/>
          <w:marRight w:val="0"/>
          <w:marTop w:val="0"/>
          <w:marBottom w:val="0"/>
          <w:divBdr>
            <w:top w:val="none" w:sz="0" w:space="0" w:color="auto"/>
            <w:left w:val="none" w:sz="0" w:space="0" w:color="auto"/>
            <w:bottom w:val="none" w:sz="0" w:space="0" w:color="auto"/>
            <w:right w:val="none" w:sz="0" w:space="0" w:color="auto"/>
          </w:divBdr>
          <w:divsChild>
            <w:div w:id="79059746">
              <w:marLeft w:val="0"/>
              <w:marRight w:val="0"/>
              <w:marTop w:val="630"/>
              <w:marBottom w:val="630"/>
              <w:divBdr>
                <w:top w:val="none" w:sz="0" w:space="0" w:color="auto"/>
                <w:left w:val="none" w:sz="0" w:space="0" w:color="auto"/>
                <w:bottom w:val="none" w:sz="0" w:space="0" w:color="auto"/>
                <w:right w:val="none" w:sz="0" w:space="0" w:color="auto"/>
              </w:divBdr>
              <w:divsChild>
                <w:div w:id="87386460">
                  <w:marLeft w:val="-375"/>
                  <w:marRight w:val="-375"/>
                  <w:marTop w:val="0"/>
                  <w:marBottom w:val="0"/>
                  <w:divBdr>
                    <w:top w:val="none" w:sz="0" w:space="0" w:color="auto"/>
                    <w:left w:val="none" w:sz="0" w:space="0" w:color="auto"/>
                    <w:bottom w:val="none" w:sz="0" w:space="0" w:color="auto"/>
                    <w:right w:val="none" w:sz="0" w:space="0" w:color="auto"/>
                  </w:divBdr>
                  <w:divsChild>
                    <w:div w:id="1193419105">
                      <w:marLeft w:val="0"/>
                      <w:marRight w:val="0"/>
                      <w:marTop w:val="0"/>
                      <w:marBottom w:val="0"/>
                      <w:divBdr>
                        <w:top w:val="none" w:sz="0" w:space="0" w:color="auto"/>
                        <w:left w:val="none" w:sz="0" w:space="0" w:color="auto"/>
                        <w:bottom w:val="none" w:sz="0" w:space="0" w:color="auto"/>
                        <w:right w:val="none" w:sz="0" w:space="0" w:color="auto"/>
                      </w:divBdr>
                      <w:divsChild>
                        <w:div w:id="1956718419">
                          <w:marLeft w:val="0"/>
                          <w:marRight w:val="0"/>
                          <w:marTop w:val="0"/>
                          <w:marBottom w:val="0"/>
                          <w:divBdr>
                            <w:top w:val="none" w:sz="0" w:space="0" w:color="auto"/>
                            <w:left w:val="none" w:sz="0" w:space="0" w:color="auto"/>
                            <w:bottom w:val="none" w:sz="0" w:space="0" w:color="auto"/>
                            <w:right w:val="none" w:sz="0" w:space="0" w:color="auto"/>
                          </w:divBdr>
                          <w:divsChild>
                            <w:div w:id="1870756792">
                              <w:marLeft w:val="0"/>
                              <w:marRight w:val="0"/>
                              <w:marTop w:val="0"/>
                              <w:marBottom w:val="0"/>
                              <w:divBdr>
                                <w:top w:val="none" w:sz="0" w:space="0" w:color="auto"/>
                                <w:left w:val="none" w:sz="0" w:space="0" w:color="auto"/>
                                <w:bottom w:val="none" w:sz="0" w:space="0" w:color="auto"/>
                                <w:right w:val="none" w:sz="0" w:space="0" w:color="auto"/>
                              </w:divBdr>
                            </w:div>
                          </w:divsChild>
                        </w:div>
                        <w:div w:id="578560623">
                          <w:marLeft w:val="0"/>
                          <w:marRight w:val="0"/>
                          <w:marTop w:val="0"/>
                          <w:marBottom w:val="330"/>
                          <w:divBdr>
                            <w:top w:val="none" w:sz="0" w:space="0" w:color="auto"/>
                            <w:left w:val="none" w:sz="0" w:space="0" w:color="auto"/>
                            <w:bottom w:val="none" w:sz="0" w:space="0" w:color="auto"/>
                            <w:right w:val="none" w:sz="0" w:space="0" w:color="auto"/>
                          </w:divBdr>
                        </w:div>
                        <w:div w:id="129827313">
                          <w:marLeft w:val="0"/>
                          <w:marRight w:val="0"/>
                          <w:marTop w:val="0"/>
                          <w:marBottom w:val="0"/>
                          <w:divBdr>
                            <w:top w:val="none" w:sz="0" w:space="0" w:color="auto"/>
                            <w:left w:val="none" w:sz="0" w:space="0" w:color="auto"/>
                            <w:bottom w:val="none" w:sz="0" w:space="0" w:color="auto"/>
                            <w:right w:val="none" w:sz="0" w:space="0" w:color="auto"/>
                          </w:divBdr>
                        </w:div>
                        <w:div w:id="2095935744">
                          <w:marLeft w:val="0"/>
                          <w:marRight w:val="0"/>
                          <w:marTop w:val="0"/>
                          <w:marBottom w:val="0"/>
                          <w:divBdr>
                            <w:top w:val="none" w:sz="0" w:space="0" w:color="auto"/>
                            <w:left w:val="none" w:sz="0" w:space="0" w:color="auto"/>
                            <w:bottom w:val="none" w:sz="0" w:space="0" w:color="auto"/>
                            <w:right w:val="none" w:sz="0" w:space="0" w:color="auto"/>
                          </w:divBdr>
                        </w:div>
                        <w:div w:id="49521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255503">
      <w:bodyDiv w:val="1"/>
      <w:marLeft w:val="0"/>
      <w:marRight w:val="0"/>
      <w:marTop w:val="0"/>
      <w:marBottom w:val="0"/>
      <w:divBdr>
        <w:top w:val="none" w:sz="0" w:space="0" w:color="auto"/>
        <w:left w:val="none" w:sz="0" w:space="0" w:color="auto"/>
        <w:bottom w:val="none" w:sz="0" w:space="0" w:color="auto"/>
        <w:right w:val="none" w:sz="0" w:space="0" w:color="auto"/>
      </w:divBdr>
      <w:divsChild>
        <w:div w:id="1110586354">
          <w:marLeft w:val="0"/>
          <w:marRight w:val="0"/>
          <w:marTop w:val="0"/>
          <w:marBottom w:val="0"/>
          <w:divBdr>
            <w:top w:val="none" w:sz="0" w:space="0" w:color="auto"/>
            <w:left w:val="none" w:sz="0" w:space="0" w:color="auto"/>
            <w:bottom w:val="none" w:sz="0" w:space="0" w:color="auto"/>
            <w:right w:val="none" w:sz="0" w:space="0" w:color="auto"/>
          </w:divBdr>
          <w:divsChild>
            <w:div w:id="2138252876">
              <w:marLeft w:val="0"/>
              <w:marRight w:val="0"/>
              <w:marTop w:val="630"/>
              <w:marBottom w:val="630"/>
              <w:divBdr>
                <w:top w:val="none" w:sz="0" w:space="0" w:color="auto"/>
                <w:left w:val="none" w:sz="0" w:space="0" w:color="auto"/>
                <w:bottom w:val="none" w:sz="0" w:space="0" w:color="auto"/>
                <w:right w:val="none" w:sz="0" w:space="0" w:color="auto"/>
              </w:divBdr>
              <w:divsChild>
                <w:div w:id="1493333574">
                  <w:marLeft w:val="-375"/>
                  <w:marRight w:val="-375"/>
                  <w:marTop w:val="0"/>
                  <w:marBottom w:val="0"/>
                  <w:divBdr>
                    <w:top w:val="none" w:sz="0" w:space="0" w:color="auto"/>
                    <w:left w:val="none" w:sz="0" w:space="0" w:color="auto"/>
                    <w:bottom w:val="none" w:sz="0" w:space="0" w:color="auto"/>
                    <w:right w:val="none" w:sz="0" w:space="0" w:color="auto"/>
                  </w:divBdr>
                  <w:divsChild>
                    <w:div w:id="330761442">
                      <w:marLeft w:val="0"/>
                      <w:marRight w:val="0"/>
                      <w:marTop w:val="0"/>
                      <w:marBottom w:val="0"/>
                      <w:divBdr>
                        <w:top w:val="none" w:sz="0" w:space="0" w:color="auto"/>
                        <w:left w:val="none" w:sz="0" w:space="0" w:color="auto"/>
                        <w:bottom w:val="none" w:sz="0" w:space="0" w:color="auto"/>
                        <w:right w:val="none" w:sz="0" w:space="0" w:color="auto"/>
                      </w:divBdr>
                      <w:divsChild>
                        <w:div w:id="103425390">
                          <w:marLeft w:val="0"/>
                          <w:marRight w:val="0"/>
                          <w:marTop w:val="0"/>
                          <w:marBottom w:val="0"/>
                          <w:divBdr>
                            <w:top w:val="none" w:sz="0" w:space="0" w:color="auto"/>
                            <w:left w:val="none" w:sz="0" w:space="0" w:color="auto"/>
                            <w:bottom w:val="none" w:sz="0" w:space="0" w:color="auto"/>
                            <w:right w:val="none" w:sz="0" w:space="0" w:color="auto"/>
                          </w:divBdr>
                          <w:divsChild>
                            <w:div w:id="1960259094">
                              <w:marLeft w:val="0"/>
                              <w:marRight w:val="0"/>
                              <w:marTop w:val="0"/>
                              <w:marBottom w:val="0"/>
                              <w:divBdr>
                                <w:top w:val="none" w:sz="0" w:space="0" w:color="auto"/>
                                <w:left w:val="none" w:sz="0" w:space="0" w:color="auto"/>
                                <w:bottom w:val="none" w:sz="0" w:space="0" w:color="auto"/>
                                <w:right w:val="none" w:sz="0" w:space="0" w:color="auto"/>
                              </w:divBdr>
                            </w:div>
                          </w:divsChild>
                        </w:div>
                        <w:div w:id="293415614">
                          <w:marLeft w:val="0"/>
                          <w:marRight w:val="0"/>
                          <w:marTop w:val="0"/>
                          <w:marBottom w:val="330"/>
                          <w:divBdr>
                            <w:top w:val="none" w:sz="0" w:space="0" w:color="auto"/>
                            <w:left w:val="none" w:sz="0" w:space="0" w:color="auto"/>
                            <w:bottom w:val="none" w:sz="0" w:space="0" w:color="auto"/>
                            <w:right w:val="none" w:sz="0" w:space="0" w:color="auto"/>
                          </w:divBdr>
                        </w:div>
                        <w:div w:id="1174345360">
                          <w:marLeft w:val="0"/>
                          <w:marRight w:val="0"/>
                          <w:marTop w:val="0"/>
                          <w:marBottom w:val="0"/>
                          <w:divBdr>
                            <w:top w:val="none" w:sz="0" w:space="0" w:color="auto"/>
                            <w:left w:val="none" w:sz="0" w:space="0" w:color="auto"/>
                            <w:bottom w:val="none" w:sz="0" w:space="0" w:color="auto"/>
                            <w:right w:val="none" w:sz="0" w:space="0" w:color="auto"/>
                          </w:divBdr>
                        </w:div>
                        <w:div w:id="262736867">
                          <w:marLeft w:val="0"/>
                          <w:marRight w:val="0"/>
                          <w:marTop w:val="0"/>
                          <w:marBottom w:val="0"/>
                          <w:divBdr>
                            <w:top w:val="none" w:sz="0" w:space="0" w:color="auto"/>
                            <w:left w:val="none" w:sz="0" w:space="0" w:color="auto"/>
                            <w:bottom w:val="none" w:sz="0" w:space="0" w:color="auto"/>
                            <w:right w:val="none" w:sz="0" w:space="0" w:color="auto"/>
                          </w:divBdr>
                        </w:div>
                        <w:div w:id="813566674">
                          <w:marLeft w:val="0"/>
                          <w:marRight w:val="0"/>
                          <w:marTop w:val="0"/>
                          <w:marBottom w:val="0"/>
                          <w:divBdr>
                            <w:top w:val="none" w:sz="0" w:space="0" w:color="auto"/>
                            <w:left w:val="none" w:sz="0" w:space="0" w:color="auto"/>
                            <w:bottom w:val="none" w:sz="0" w:space="0" w:color="auto"/>
                            <w:right w:val="none" w:sz="0" w:space="0" w:color="auto"/>
                          </w:divBdr>
                          <w:divsChild>
                            <w:div w:id="857082111">
                              <w:marLeft w:val="0"/>
                              <w:marRight w:val="150"/>
                              <w:marTop w:val="0"/>
                              <w:marBottom w:val="240"/>
                              <w:divBdr>
                                <w:top w:val="single" w:sz="6" w:space="8" w:color="AAAAAA"/>
                                <w:left w:val="single" w:sz="6" w:space="8" w:color="AAAAAA"/>
                                <w:bottom w:val="single" w:sz="6" w:space="8" w:color="AAAAAA"/>
                                <w:right w:val="single" w:sz="6" w:space="8" w:color="AAAAAA"/>
                              </w:divBdr>
                            </w:div>
                          </w:divsChild>
                        </w:div>
                      </w:divsChild>
                    </w:div>
                  </w:divsChild>
                </w:div>
              </w:divsChild>
            </w:div>
          </w:divsChild>
        </w:div>
      </w:divsChild>
    </w:div>
    <w:div w:id="1812481668">
      <w:bodyDiv w:val="1"/>
      <w:marLeft w:val="0"/>
      <w:marRight w:val="0"/>
      <w:marTop w:val="0"/>
      <w:marBottom w:val="0"/>
      <w:divBdr>
        <w:top w:val="none" w:sz="0" w:space="0" w:color="auto"/>
        <w:left w:val="none" w:sz="0" w:space="0" w:color="auto"/>
        <w:bottom w:val="none" w:sz="0" w:space="0" w:color="auto"/>
        <w:right w:val="none" w:sz="0" w:space="0" w:color="auto"/>
      </w:divBdr>
      <w:divsChild>
        <w:div w:id="1610158858">
          <w:marLeft w:val="0"/>
          <w:marRight w:val="0"/>
          <w:marTop w:val="0"/>
          <w:marBottom w:val="0"/>
          <w:divBdr>
            <w:top w:val="none" w:sz="0" w:space="0" w:color="auto"/>
            <w:left w:val="none" w:sz="0" w:space="0" w:color="auto"/>
            <w:bottom w:val="none" w:sz="0" w:space="0" w:color="auto"/>
            <w:right w:val="none" w:sz="0" w:space="0" w:color="auto"/>
          </w:divBdr>
          <w:divsChild>
            <w:div w:id="1147668329">
              <w:marLeft w:val="0"/>
              <w:marRight w:val="0"/>
              <w:marTop w:val="630"/>
              <w:marBottom w:val="630"/>
              <w:divBdr>
                <w:top w:val="none" w:sz="0" w:space="0" w:color="auto"/>
                <w:left w:val="none" w:sz="0" w:space="0" w:color="auto"/>
                <w:bottom w:val="none" w:sz="0" w:space="0" w:color="auto"/>
                <w:right w:val="none" w:sz="0" w:space="0" w:color="auto"/>
              </w:divBdr>
              <w:divsChild>
                <w:div w:id="1116680918">
                  <w:marLeft w:val="-375"/>
                  <w:marRight w:val="-375"/>
                  <w:marTop w:val="0"/>
                  <w:marBottom w:val="0"/>
                  <w:divBdr>
                    <w:top w:val="none" w:sz="0" w:space="0" w:color="auto"/>
                    <w:left w:val="none" w:sz="0" w:space="0" w:color="auto"/>
                    <w:bottom w:val="none" w:sz="0" w:space="0" w:color="auto"/>
                    <w:right w:val="none" w:sz="0" w:space="0" w:color="auto"/>
                  </w:divBdr>
                  <w:divsChild>
                    <w:div w:id="226037916">
                      <w:marLeft w:val="0"/>
                      <w:marRight w:val="0"/>
                      <w:marTop w:val="0"/>
                      <w:marBottom w:val="0"/>
                      <w:divBdr>
                        <w:top w:val="none" w:sz="0" w:space="0" w:color="auto"/>
                        <w:left w:val="none" w:sz="0" w:space="0" w:color="auto"/>
                        <w:bottom w:val="none" w:sz="0" w:space="0" w:color="auto"/>
                        <w:right w:val="none" w:sz="0" w:space="0" w:color="auto"/>
                      </w:divBdr>
                      <w:divsChild>
                        <w:div w:id="19516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564883">
      <w:bodyDiv w:val="1"/>
      <w:marLeft w:val="0"/>
      <w:marRight w:val="0"/>
      <w:marTop w:val="0"/>
      <w:marBottom w:val="0"/>
      <w:divBdr>
        <w:top w:val="none" w:sz="0" w:space="0" w:color="auto"/>
        <w:left w:val="none" w:sz="0" w:space="0" w:color="auto"/>
        <w:bottom w:val="none" w:sz="0" w:space="0" w:color="auto"/>
        <w:right w:val="none" w:sz="0" w:space="0" w:color="auto"/>
      </w:divBdr>
      <w:divsChild>
        <w:div w:id="1147941127">
          <w:marLeft w:val="0"/>
          <w:marRight w:val="0"/>
          <w:marTop w:val="300"/>
          <w:marBottom w:val="300"/>
          <w:divBdr>
            <w:top w:val="none" w:sz="0" w:space="0" w:color="auto"/>
            <w:left w:val="none" w:sz="0" w:space="0" w:color="auto"/>
            <w:bottom w:val="none" w:sz="0" w:space="0" w:color="auto"/>
            <w:right w:val="none" w:sz="0" w:space="0" w:color="auto"/>
          </w:divBdr>
          <w:divsChild>
            <w:div w:id="275408198">
              <w:marLeft w:val="0"/>
              <w:marRight w:val="0"/>
              <w:marTop w:val="0"/>
              <w:marBottom w:val="0"/>
              <w:divBdr>
                <w:top w:val="none" w:sz="0" w:space="0" w:color="auto"/>
                <w:left w:val="none" w:sz="0" w:space="0" w:color="auto"/>
                <w:bottom w:val="none" w:sz="0" w:space="0" w:color="auto"/>
                <w:right w:val="none" w:sz="0" w:space="0" w:color="auto"/>
              </w:divBdr>
              <w:divsChild>
                <w:div w:id="1447893291">
                  <w:marLeft w:val="0"/>
                  <w:marRight w:val="0"/>
                  <w:marTop w:val="0"/>
                  <w:marBottom w:val="0"/>
                  <w:divBdr>
                    <w:top w:val="none" w:sz="0" w:space="0" w:color="auto"/>
                    <w:left w:val="none" w:sz="0" w:space="0" w:color="auto"/>
                    <w:bottom w:val="none" w:sz="0" w:space="0" w:color="auto"/>
                    <w:right w:val="none" w:sz="0" w:space="0" w:color="auto"/>
                  </w:divBdr>
                  <w:divsChild>
                    <w:div w:id="4050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086346">
      <w:bodyDiv w:val="1"/>
      <w:marLeft w:val="0"/>
      <w:marRight w:val="0"/>
      <w:marTop w:val="0"/>
      <w:marBottom w:val="0"/>
      <w:divBdr>
        <w:top w:val="none" w:sz="0" w:space="0" w:color="auto"/>
        <w:left w:val="none" w:sz="0" w:space="0" w:color="auto"/>
        <w:bottom w:val="none" w:sz="0" w:space="0" w:color="auto"/>
        <w:right w:val="none" w:sz="0" w:space="0" w:color="auto"/>
      </w:divBdr>
      <w:divsChild>
        <w:div w:id="973094903">
          <w:marLeft w:val="0"/>
          <w:marRight w:val="0"/>
          <w:marTop w:val="0"/>
          <w:marBottom w:val="0"/>
          <w:divBdr>
            <w:top w:val="none" w:sz="0" w:space="0" w:color="auto"/>
            <w:left w:val="none" w:sz="0" w:space="0" w:color="auto"/>
            <w:bottom w:val="none" w:sz="0" w:space="0" w:color="auto"/>
            <w:right w:val="none" w:sz="0" w:space="0" w:color="auto"/>
          </w:divBdr>
          <w:divsChild>
            <w:div w:id="1503013055">
              <w:marLeft w:val="0"/>
              <w:marRight w:val="0"/>
              <w:marTop w:val="0"/>
              <w:marBottom w:val="0"/>
              <w:divBdr>
                <w:top w:val="none" w:sz="0" w:space="0" w:color="auto"/>
                <w:left w:val="none" w:sz="0" w:space="0" w:color="auto"/>
                <w:bottom w:val="none" w:sz="0" w:space="0" w:color="auto"/>
                <w:right w:val="none" w:sz="0" w:space="0" w:color="auto"/>
              </w:divBdr>
              <w:divsChild>
                <w:div w:id="400372455">
                  <w:marLeft w:val="0"/>
                  <w:marRight w:val="0"/>
                  <w:marTop w:val="1500"/>
                  <w:marBottom w:val="0"/>
                  <w:divBdr>
                    <w:top w:val="none" w:sz="0" w:space="0" w:color="auto"/>
                    <w:left w:val="none" w:sz="0" w:space="0" w:color="auto"/>
                    <w:bottom w:val="none" w:sz="0" w:space="0" w:color="auto"/>
                    <w:right w:val="none" w:sz="0" w:space="0" w:color="auto"/>
                  </w:divBdr>
                  <w:divsChild>
                    <w:div w:id="695734420">
                      <w:marLeft w:val="-225"/>
                      <w:marRight w:val="-225"/>
                      <w:marTop w:val="0"/>
                      <w:marBottom w:val="0"/>
                      <w:divBdr>
                        <w:top w:val="none" w:sz="0" w:space="0" w:color="auto"/>
                        <w:left w:val="none" w:sz="0" w:space="0" w:color="auto"/>
                        <w:bottom w:val="none" w:sz="0" w:space="0" w:color="auto"/>
                        <w:right w:val="none" w:sz="0" w:space="0" w:color="auto"/>
                      </w:divBdr>
                      <w:divsChild>
                        <w:div w:id="227958031">
                          <w:marLeft w:val="0"/>
                          <w:marRight w:val="0"/>
                          <w:marTop w:val="0"/>
                          <w:marBottom w:val="0"/>
                          <w:divBdr>
                            <w:top w:val="none" w:sz="0" w:space="0" w:color="auto"/>
                            <w:left w:val="none" w:sz="0" w:space="0" w:color="auto"/>
                            <w:bottom w:val="none" w:sz="0" w:space="0" w:color="auto"/>
                            <w:right w:val="none" w:sz="0" w:space="0" w:color="auto"/>
                          </w:divBdr>
                          <w:divsChild>
                            <w:div w:id="1180856695">
                              <w:marLeft w:val="0"/>
                              <w:marRight w:val="0"/>
                              <w:marTop w:val="75"/>
                              <w:marBottom w:val="1200"/>
                              <w:divBdr>
                                <w:top w:val="none" w:sz="0" w:space="0" w:color="auto"/>
                                <w:left w:val="none" w:sz="0" w:space="0" w:color="auto"/>
                                <w:bottom w:val="none" w:sz="0" w:space="0" w:color="auto"/>
                                <w:right w:val="none" w:sz="0" w:space="0" w:color="auto"/>
                              </w:divBdr>
                              <w:divsChild>
                                <w:div w:id="609897576">
                                  <w:marLeft w:val="0"/>
                                  <w:marRight w:val="0"/>
                                  <w:marTop w:val="0"/>
                                  <w:marBottom w:val="0"/>
                                  <w:divBdr>
                                    <w:top w:val="none" w:sz="0" w:space="0" w:color="auto"/>
                                    <w:left w:val="none" w:sz="0" w:space="0" w:color="auto"/>
                                    <w:bottom w:val="none" w:sz="0" w:space="0" w:color="auto"/>
                                    <w:right w:val="none" w:sz="0" w:space="0" w:color="auto"/>
                                  </w:divBdr>
                                  <w:divsChild>
                                    <w:div w:id="18307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383783">
      <w:bodyDiv w:val="1"/>
      <w:marLeft w:val="0"/>
      <w:marRight w:val="0"/>
      <w:marTop w:val="0"/>
      <w:marBottom w:val="0"/>
      <w:divBdr>
        <w:top w:val="none" w:sz="0" w:space="0" w:color="auto"/>
        <w:left w:val="none" w:sz="0" w:space="0" w:color="auto"/>
        <w:bottom w:val="none" w:sz="0" w:space="0" w:color="auto"/>
        <w:right w:val="none" w:sz="0" w:space="0" w:color="auto"/>
      </w:divBdr>
      <w:divsChild>
        <w:div w:id="1458404170">
          <w:marLeft w:val="0"/>
          <w:marRight w:val="0"/>
          <w:marTop w:val="0"/>
          <w:marBottom w:val="0"/>
          <w:divBdr>
            <w:top w:val="none" w:sz="0" w:space="0" w:color="auto"/>
            <w:left w:val="none" w:sz="0" w:space="0" w:color="auto"/>
            <w:bottom w:val="none" w:sz="0" w:space="0" w:color="auto"/>
            <w:right w:val="none" w:sz="0" w:space="0" w:color="auto"/>
          </w:divBdr>
          <w:divsChild>
            <w:div w:id="143203682">
              <w:marLeft w:val="0"/>
              <w:marRight w:val="0"/>
              <w:marTop w:val="630"/>
              <w:marBottom w:val="630"/>
              <w:divBdr>
                <w:top w:val="none" w:sz="0" w:space="0" w:color="auto"/>
                <w:left w:val="none" w:sz="0" w:space="0" w:color="auto"/>
                <w:bottom w:val="none" w:sz="0" w:space="0" w:color="auto"/>
                <w:right w:val="none" w:sz="0" w:space="0" w:color="auto"/>
              </w:divBdr>
              <w:divsChild>
                <w:div w:id="1200698989">
                  <w:marLeft w:val="-375"/>
                  <w:marRight w:val="-375"/>
                  <w:marTop w:val="0"/>
                  <w:marBottom w:val="0"/>
                  <w:divBdr>
                    <w:top w:val="none" w:sz="0" w:space="0" w:color="auto"/>
                    <w:left w:val="none" w:sz="0" w:space="0" w:color="auto"/>
                    <w:bottom w:val="none" w:sz="0" w:space="0" w:color="auto"/>
                    <w:right w:val="none" w:sz="0" w:space="0" w:color="auto"/>
                  </w:divBdr>
                  <w:divsChild>
                    <w:div w:id="578052551">
                      <w:marLeft w:val="0"/>
                      <w:marRight w:val="0"/>
                      <w:marTop w:val="0"/>
                      <w:marBottom w:val="0"/>
                      <w:divBdr>
                        <w:top w:val="none" w:sz="0" w:space="0" w:color="auto"/>
                        <w:left w:val="none" w:sz="0" w:space="0" w:color="auto"/>
                        <w:bottom w:val="none" w:sz="0" w:space="0" w:color="auto"/>
                        <w:right w:val="none" w:sz="0" w:space="0" w:color="auto"/>
                      </w:divBdr>
                      <w:divsChild>
                        <w:div w:id="682516518">
                          <w:marLeft w:val="0"/>
                          <w:marRight w:val="0"/>
                          <w:marTop w:val="0"/>
                          <w:marBottom w:val="0"/>
                          <w:divBdr>
                            <w:top w:val="none" w:sz="0" w:space="0" w:color="auto"/>
                            <w:left w:val="none" w:sz="0" w:space="0" w:color="auto"/>
                            <w:bottom w:val="none" w:sz="0" w:space="0" w:color="auto"/>
                            <w:right w:val="none" w:sz="0" w:space="0" w:color="auto"/>
                          </w:divBdr>
                          <w:divsChild>
                            <w:div w:id="1460682554">
                              <w:marLeft w:val="0"/>
                              <w:marRight w:val="0"/>
                              <w:marTop w:val="0"/>
                              <w:marBottom w:val="0"/>
                              <w:divBdr>
                                <w:top w:val="none" w:sz="0" w:space="0" w:color="auto"/>
                                <w:left w:val="none" w:sz="0" w:space="0" w:color="auto"/>
                                <w:bottom w:val="none" w:sz="0" w:space="0" w:color="auto"/>
                                <w:right w:val="none" w:sz="0" w:space="0" w:color="auto"/>
                              </w:divBdr>
                            </w:div>
                          </w:divsChild>
                        </w:div>
                        <w:div w:id="1167327550">
                          <w:marLeft w:val="0"/>
                          <w:marRight w:val="0"/>
                          <w:marTop w:val="0"/>
                          <w:marBottom w:val="330"/>
                          <w:divBdr>
                            <w:top w:val="none" w:sz="0" w:space="0" w:color="auto"/>
                            <w:left w:val="none" w:sz="0" w:space="0" w:color="auto"/>
                            <w:bottom w:val="none" w:sz="0" w:space="0" w:color="auto"/>
                            <w:right w:val="none" w:sz="0" w:space="0" w:color="auto"/>
                          </w:divBdr>
                        </w:div>
                        <w:div w:id="804589422">
                          <w:marLeft w:val="0"/>
                          <w:marRight w:val="0"/>
                          <w:marTop w:val="0"/>
                          <w:marBottom w:val="0"/>
                          <w:divBdr>
                            <w:top w:val="none" w:sz="0" w:space="0" w:color="auto"/>
                            <w:left w:val="none" w:sz="0" w:space="0" w:color="auto"/>
                            <w:bottom w:val="none" w:sz="0" w:space="0" w:color="auto"/>
                            <w:right w:val="none" w:sz="0" w:space="0" w:color="auto"/>
                          </w:divBdr>
                        </w:div>
                        <w:div w:id="200172823">
                          <w:marLeft w:val="0"/>
                          <w:marRight w:val="0"/>
                          <w:marTop w:val="0"/>
                          <w:marBottom w:val="0"/>
                          <w:divBdr>
                            <w:top w:val="none" w:sz="0" w:space="0" w:color="auto"/>
                            <w:left w:val="none" w:sz="0" w:space="0" w:color="auto"/>
                            <w:bottom w:val="none" w:sz="0" w:space="0" w:color="auto"/>
                            <w:right w:val="none" w:sz="0" w:space="0" w:color="auto"/>
                          </w:divBdr>
                        </w:div>
                        <w:div w:id="186135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gl.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1335</Words>
  <Characters>7613</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8931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34</cp:revision>
  <dcterms:created xsi:type="dcterms:W3CDTF">2018-10-29T08:18:00Z</dcterms:created>
  <dcterms:modified xsi:type="dcterms:W3CDTF">2019-01-11T07:42:00Z</dcterms:modified>
</cp:coreProperties>
</file>